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jc w:val="center"/>
        <w:textAlignment w:val="auto"/>
        <w:rPr>
          <w:rFonts w:hint="eastAsia" w:ascii="宋体" w:hAnsi="宋体" w:eastAsia="宋体" w:cs="宋体"/>
          <w:b/>
          <w:bCs/>
          <w:color w:val="000000" w:themeColor="text1"/>
          <w:kern w:val="0"/>
          <w:sz w:val="32"/>
          <w:szCs w:val="32"/>
          <w:lang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最高人民法院2020年度司法研究重大课题及研究重点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1.新时代加强人民法院政治与文化建设研究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研究梳理西方“宪政”“三权分立”“司法独立”等司法领域意识形态的典型错误观点和政治陷阱，总结分析各级法院政治建设和文化建设实践过程中存在的问题，完善人民法院坚持党对司法工作绝对领导、坚持中国特色社会主义法治道路的制度机制，创建以培育社会主义法治信仰为重点的法院文化建</w:t>
      </w:r>
      <w:bookmarkStart w:id="0" w:name="_GoBack"/>
      <w:bookmarkEnd w:id="0"/>
      <w:r>
        <w:rPr>
          <w:rFonts w:hint="eastAsia" w:ascii="宋体" w:hAnsi="宋体" w:eastAsia="宋体" w:cs="宋体"/>
          <w:color w:val="000000" w:themeColor="text1"/>
          <w:kern w:val="0"/>
          <w:sz w:val="24"/>
          <w:szCs w:val="24"/>
          <w:lang w:eastAsia="zh-CN"/>
          <w14:textFill>
            <w14:solidFill>
              <w14:schemeClr w14:val="tx1"/>
            </w14:solidFill>
          </w14:textFill>
        </w:rPr>
        <w:t>设的现实路径。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2.为统筹推进疫情防控和经济社会发展提供司法服务保障研究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人民法院在服务保障统筹推进新冠肺炎疫情防控和经济社会发展中的职能定位、司法理念、工作机制以及有益经验；疫情防控期间和后期有关热点难点法律问题；针对新情况新问题明确涉疫情案件司法标准和程序，保障疫情防控和复工复产在法治轨道上运行。</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3.妇女儿童老年人权益司法保护研究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研究重点：为老年人追索赡养费、农村留守儿童保护、追索抚养费等案件审判情况；家事审判改革面临的瓶颈和需要解决的问题；家事审判程序改革对妇女儿童老年人权益保护的影响。</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4.互联网司法治理能力现代化研究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人民法院发挥审判职能作用，加强互联网条件下意识形态工作，完善社会主义核心价值观融入互联网审判工作机制，促进网络社会治理能力和国家治理能力现代化的重要意义、特点优势、理念原则、实践经验、工作局限及完善建议等。</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5.人民法院统一法律适用机制问题研究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健全审判委员会工作机制，完善相关议事程序和议事规则；探索设置多层次多类型的专业法官会议，明确制度功能，完善工作机制；完善指导性案例工作机制，建立地方法院办案指导文件审查备案机制，避免不同地区办案标准的不合理差异。</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　6.危害国家安全案件证据标准和诉讼程序研究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危害国家安全罪名的构成要件及证明标准；办理危害国家安全案件的原则、总体要求、法律适用、证据收集与运用规则等；案件管辖范围，密级鉴定和情报鉴定的性质、标准和工作程序等问题；技术侦查措施获取的证据移送、使用以及缺席审判、适用认罪认罚从宽制度等程序问题。</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7.精神病鉴定与死刑适用问题研究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研究重点：死刑案件中精神病鉴定（含吸毒致幻案件的刑事责任能力鉴定）的现状及存在的问题；限制责任能力精神病人的死刑适用；完善精神病鉴定及死刑适用政策的建议。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　8.信息网络犯罪司法适用疑难问题研究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当前信息网络犯罪的态势与特点；办理信息网络犯罪案件适用刑法、刑事诉讼法规定的具体难题与解决方案。关于信息网络犯罪的法律适用问题，主要包括网络犯罪黑灰产业链各个环节的罪名适用，窃取微信、支付宝余额的罪名定性，打码平台的刑事责任确定等问题，以及电子证据的审查运用、网络犯罪的管辖等程序问题。</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9.民法典适用问题研究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就民事立法新旧衔接适用、民法典总则编规定的解释、《民通意见》及相关司法解释的废改、人格权法律适用以及民法典其他各编新增、重大修改条文，紧密结合立法原意、审判实践以及理论研究成果，进行系统梳理，提出可行性法律适用意见建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　10.营业信托纠纷案件审理中的法律问题研究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明确信托合同的成立与生效要件，信托合同的有效与无效认定及其法律后果；依法可以作为信托财产的范围；股权作为信托财产时，信托公司的持股责任与公司一般股东信托责任的联系与区别；勤勉尽责受托人义务的司法认定标准以及受托人的赔偿责任范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　11.涉外知识产权纠纷中国司法管辖权问题研究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研究重点：探讨以禁诉令、反禁诉令以及当事人在我国提起确认之诉等手段，构建维护我国法院对涉外知识产权纠纷所享有的司法主权及保护当事人正当权益的机制。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12.我国国际商事法庭运行机制研究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研究重点：我国国际商事法庭的设立背景和运行情况以及面临的问题和困难；域外国家国际商事法庭发展态势的比较研究；完善国际商事法庭运行机制的对策。</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13.行政争议诉源治理机制研究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研究重点：完善行政争议化解司法行政协作机制；坚持问题导向，探索涉诉行政争议应对、甄别、化解效率优化机制；强化诉外行政机关主导的争议化解机制。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w:t>
      </w:r>
      <w:r>
        <w:rPr>
          <w:rFonts w:hint="eastAsia" w:ascii="宋体" w:hAnsi="宋体" w:eastAsia="宋体" w:cs="宋体"/>
          <w:color w:val="000000" w:themeColor="text1"/>
          <w:kern w:val="0"/>
          <w:sz w:val="24"/>
          <w:szCs w:val="24"/>
          <w:lang w:eastAsia="zh-CN"/>
          <w14:textFill>
            <w14:solidFill>
              <w14:schemeClr w14:val="tx1"/>
            </w14:solidFill>
          </w14:textFill>
        </w:rPr>
        <w:t>　14.互联网时代电子诉讼规则研究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　　研究重点：电子诉讼的基本原则；线上立案、在线庭审、电子送达的条件、范围和方式；电子化材料的效力以及裁判生效标准等。</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10D64"/>
    <w:rsid w:val="067C5CCD"/>
    <w:rsid w:val="21DF49F1"/>
    <w:rsid w:val="6AA10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2020-05-15T01:59:00Z</dcterms:created>
  <dc:creator>李伟</dc:creator>
  <cp:lastModifiedBy>李伟</cp:lastModifiedBy>
  <dcterms:modified xsi:type="dcterms:W3CDTF">2020-05-15T02:03:34Z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