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jc w:val="center"/>
        <w:textAlignment w:val="auto"/>
        <w:rPr>
          <w:rFonts w:hint="eastAsia" w:ascii="宋体" w:hAnsi="宋体" w:eastAsia="宋体" w:cs="宋体"/>
          <w:b/>
          <w:bCs/>
          <w:color w:val="000000" w:themeColor="text1"/>
          <w:kern w:val="0"/>
          <w:sz w:val="32"/>
          <w:szCs w:val="32"/>
          <w:lang w:eastAsia="zh-CN"/>
          <w14:textFill>
            <w14:solidFill>
              <w14:schemeClr w14:val="tx1"/>
            </w14:solidFill>
          </w14:textFill>
        </w:rPr>
      </w:pPr>
      <w:r>
        <w:rPr>
          <w:rFonts w:hint="eastAsia" w:ascii="宋体" w:hAnsi="宋体" w:eastAsia="宋体" w:cs="宋体"/>
          <w:b/>
          <w:bCs/>
          <w:color w:val="000000" w:themeColor="text1"/>
          <w:kern w:val="0"/>
          <w:sz w:val="32"/>
          <w:szCs w:val="32"/>
          <w:lang w:eastAsia="zh-CN"/>
          <w14:textFill>
            <w14:solidFill>
              <w14:schemeClr w14:val="tx1"/>
            </w14:solidFill>
          </w14:textFill>
        </w:rPr>
        <w:t>2020年度上海市人民政府决策咨询研究重点专项课题指南</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上海打造国内大循环中心节点和国内国际双循环战略链接的内涵与切入点研究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针对百年未遇之大变局，中央提出了加快形成以国内大循环为主体、国内国际双循环相互促进的新发展格局和战略思路，上海也明确提出了“打造国内大循环中心节点和国内国际双循环战略链接”的战略目标。本课题旨在从国内国际发展新环境出发，深入系统分析上海打造国内大循环中心节点和国内国际双循环战略链接的内涵和具体要求，提出工作的切入点、重大举措和具体抓手，为进一步当好排头兵先行者提供决策参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临港新片区探索人民币资本项目自由兑换新途径研究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上半年，临港新片区发布“金融改革开放50条”，首提探索外汇管理转型升级，在推动低成本、高效率、有标准的经常项目可兑换上向前迈出了一大步。下一阶段继续在新片区先行先试人民币资本项下可自由兑换，既是上海深化国际金融中心建设，推进金融对外开放的重要内容，也是强化临港新片区特殊经济功能区的重要途径。本课题旨在现行金融制度环境下，基于对本市和临港新片区推进人民币可自由兑换进程及政策评价，提出依托离岸综合账户探索人民币资本项目自由兑换的新途径。</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新形势下加大对中小微企业创新支持力度的相关举措研究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中小微企业是最具发展活力和创造力的企业群体，是上海建设科技创新中心的重要力量。近年来，上海的中小微企业创新能力不断提升，但也面临获得创新资源能力不足、创新投入水平仍然偏低等问题。在当前形势下，中小微企业的发展面临较大压力，一定程度上制约了创新的动力和定力。本课题旨在对现有中小微企业创新支持政策的成效和不足进行分析的基础上，研究提出进一步加大对中小微企业创新支持力度的具体政策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提升技术交易市场服务功能的思路与对策</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2020年5月,《中共中央国务院关于新时代加快完善社会主义市场经济体制的意见》提出要加快全国技术交易平台建设，促进技术要素有序流动和价格合理形成。上海技术交易市场起步早、业务全、合作广，有条件率先建设高标准、高能级的技术交易平台，推动实现技术交易跨越式发展。本课题旨在从进一步提升上海科技创新策源功能的要求出发，分析上海技术交易市场的服务短板，研究提出新形势下进一步提升技术交易市场服务功能的操作性思路和具体举措。</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依托顶尖科学家论坛进一步深化临港新片区国际创新协同研究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上海要提升科技创新策源功能，离不开国际创新合作。特别是在当前复杂的外部环境下，推进国际协同创新意义重大。位于临港新片区的世界顶尖科学家论坛作为高层次国际科学交流平台，应当对深化国际协同创新发挥重要作用。本课题重点研究如何依托顶尖科学家论坛，进一步吸引全球高端创新要素，构建开放协同创新网络，拓展国际创新合作深度，提升新片区国际协同创新能力，进一步增强上海科技创新策源能力。要求提出可操作性的建议和举措。</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本市大学科技园政策突破研究</w:t>
      </w: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大学科技园是上海科创中心建设中的重要策源地和承载地。大学科技园区要做大做强，必须全面调动高校和各区的主体积极性，关键是要加强人才集聚和成果转化工作。近年来，本市在支持大学科技园区发展上出台很多政策，但仍有很多规定影响了大学师生成果转化的积极性。本课题旨在从加快推进大学科技园区高质量发展和建设产教融合型城市的要求出发，研究提出促进大学科技园区加快发展的新的突破性政策，进一步促进人才集聚和成果转化，提升大学科技园整体发展水平和能级。</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上海大都市圈规划建设的目标定位研究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推进上海大都市圈协同发展是贯彻落实长三角高质量一体化发展国家战略的重大举措，科学确定上海大都市圈发展的目标愿景是协同推进上海大都市圈发展的基础和核心内容。本课题要求在充分研判上海大都市圈现状特征和趋势挑战的基础上，研究提出上海大都市圈在全国和长三角区域的战略定位、总体目标愿景和具体分目标，为制定相应规划提供依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提升郊区新城综合性节点城市功能的举措研究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上海市城市总体规划（2017-2035年）》明确指出，要将郊区新城培育成在长三角城市群中具有辐射带动作用的综合性节点城市，全面承接全球城市核心功能。本课题旨在从推进落实这一规划要求出发，分析郊区综合性节点城市的具体内涵和目标要求，研究提出推进上海郊区五个新城综合性节点城市功能落地的具体措施和抓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上海“生态之城”建设目标与内涵研究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建设令人向往的“生态之城”，是《上海市城市总体规划（2017-2035年）》提出的重要目标。在资源环境紧约束的背景下，探索高密度超大城市低碳、安全、韧性的发展方式与转型路径，已成为未来上海实现高质量发展、创造高品质生活的主要抓手之一。本课题旨在从建设卓越全球城市、推进落实《上海市城市总体规划（2017-2035年）》的要求出发，对比国际大都市生态建设经验，结合上海城市性质特点和生态建设基础，研究提出上海建设“生态之城”的目标和内涵，为制定相关规划提供依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b/>
          <w:bCs/>
          <w:color w:val="000000" w:themeColor="text1"/>
          <w:kern w:val="0"/>
          <w:sz w:val="24"/>
          <w:szCs w:val="24"/>
          <w:lang w:eastAsia="zh-CN"/>
          <w14:textFill>
            <w14:solidFill>
              <w14:schemeClr w14:val="tx1"/>
            </w14:solidFill>
          </w14:textFill>
        </w:rPr>
      </w:pPr>
      <w:r>
        <w:rPr>
          <w:rFonts w:hint="eastAsia" w:ascii="宋体" w:hAnsi="宋体" w:eastAsia="宋体" w:cs="宋体"/>
          <w:b/>
          <w:bCs/>
          <w:color w:val="000000" w:themeColor="text1"/>
          <w:kern w:val="0"/>
          <w:sz w:val="24"/>
          <w:szCs w:val="24"/>
          <w:lang w:eastAsia="zh-CN"/>
          <w14:textFill>
            <w14:solidFill>
              <w14:schemeClr w14:val="tx1"/>
            </w14:solidFill>
          </w14:textFill>
        </w:rPr>
        <w:t>新时代上海托底民生保障的原则和标准研究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eastAsia="zh-CN"/>
          <w14:textFill>
            <w14:solidFill>
              <w14:schemeClr w14:val="tx1"/>
            </w14:solidFill>
          </w14:textFill>
        </w:rPr>
        <w:t>研究要求：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bookmarkStart w:id="0" w:name="_GoBack"/>
      <w:bookmarkEnd w:id="0"/>
      <w:r>
        <w:rPr>
          <w:rFonts w:hint="eastAsia" w:ascii="宋体" w:hAnsi="宋体" w:eastAsia="宋体" w:cs="宋体"/>
          <w:color w:val="000000" w:themeColor="text1"/>
          <w:kern w:val="0"/>
          <w:sz w:val="24"/>
          <w:szCs w:val="24"/>
          <w:lang w:eastAsia="zh-CN"/>
          <w14:textFill>
            <w14:solidFill>
              <w14:schemeClr w14:val="tx1"/>
            </w14:solidFill>
          </w14:textFill>
        </w:rPr>
        <w:t>近年来，本市各项托底民生保障制度建设加快推进，财政托底民生保障投入稳步扩大，在民生领域发挥了重要基础性保障作用。与此同时，对民生保障的要求也越来越高。特别是在当前经济受疫情较大影响的情况下，加强民生托底保障的任务越来越重。本课题旨在分析本市民生保障的基本情况、新形势新要求和对标兄弟省市相关做法和标准的基础上，研究提出上海托底民生保障的基本原则和主要标准，为制定相关政策提供依据。</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contextualSpacing/>
        <w:textAlignment w:val="auto"/>
        <w:rPr>
          <w:rFonts w:hint="eastAsia" w:ascii="宋体" w:hAnsi="宋体" w:eastAsia="宋体" w:cs="宋体"/>
          <w:color w:val="000000" w:themeColor="text1"/>
          <w:kern w:val="0"/>
          <w:sz w:val="24"/>
          <w:szCs w:val="24"/>
          <w:lang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F1527"/>
    <w:rsid w:val="4D1F1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2020-10-13T02:19:00Z</dcterms:created>
  <dc:creator>李伟</dc:creator>
  <cp:lastModifiedBy>李伟</cp:lastModifiedBy>
  <dcterms:modified xsi:type="dcterms:W3CDTF">2020-10-13T02:23:16Z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