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2B0D5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2B0D57">
              <w:rPr>
                <w:rFonts w:hint="eastAsia"/>
                <w:color w:val="000000"/>
                <w:sz w:val="28"/>
                <w:szCs w:val="21"/>
              </w:rPr>
              <w:t>5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B605A">
        <w:rPr>
          <w:rFonts w:ascii="方正小标宋_GBK" w:eastAsia="方正小标宋_GBK" w:hAnsi="宋体" w:hint="eastAsia"/>
          <w:bCs/>
          <w:sz w:val="36"/>
          <w:szCs w:val="36"/>
        </w:rPr>
        <w:t>5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="00AB605A">
        <w:rPr>
          <w:rFonts w:ascii="仿宋" w:eastAsia="仿宋" w:hAnsi="仿宋" w:hint="eastAsia"/>
          <w:sz w:val="28"/>
          <w:szCs w:val="28"/>
        </w:rPr>
        <w:t>李明君025-83396494，杨金蕾 025-83396493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7E512F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2000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2672EA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76268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76268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D0" w:rsidRDefault="002373D0" w:rsidP="00D064B3">
      <w:r>
        <w:separator/>
      </w:r>
    </w:p>
  </w:endnote>
  <w:endnote w:type="continuationSeparator" w:id="0">
    <w:p w:rsidR="002373D0" w:rsidRDefault="002373D0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标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7E512F" w:rsidRPr="007E512F">
      <w:rPr>
        <w:noProof/>
        <w:sz w:val="24"/>
        <w:lang w:val="zh-CN"/>
      </w:rPr>
      <w:t>9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D0" w:rsidRDefault="002373D0" w:rsidP="00D064B3">
      <w:r>
        <w:separator/>
      </w:r>
    </w:p>
  </w:footnote>
  <w:footnote w:type="continuationSeparator" w:id="0">
    <w:p w:rsidR="002373D0" w:rsidRDefault="002373D0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E453D"/>
    <w:rsid w:val="001F5030"/>
    <w:rsid w:val="00203912"/>
    <w:rsid w:val="002125E9"/>
    <w:rsid w:val="002210DD"/>
    <w:rsid w:val="002214B4"/>
    <w:rsid w:val="002373D0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E512F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351BE"/>
  <w15:docId w15:val="{3B0C7E27-7E89-4622-80AE-9C5E416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333</Words>
  <Characters>1902</Characters>
  <Application>Microsoft Office Word</Application>
  <DocSecurity>0</DocSecurity>
  <Lines>15</Lines>
  <Paragraphs>4</Paragraphs>
  <ScaleCrop>false</ScaleCrop>
  <Company>www.xunchi.com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wj</cp:lastModifiedBy>
  <cp:revision>32</cp:revision>
  <cp:lastPrinted>2016-02-18T09:21:00Z</cp:lastPrinted>
  <dcterms:created xsi:type="dcterms:W3CDTF">2020-03-19T02:33:00Z</dcterms:created>
  <dcterms:modified xsi:type="dcterms:W3CDTF">2025-06-05T01:24:00Z</dcterms:modified>
</cp:coreProperties>
</file>