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b/>
          <w:sz w:val="32"/>
          <w:szCs w:val="32"/>
        </w:rPr>
      </w:pPr>
    </w:p>
    <w:p>
      <w:pPr>
        <w:spacing w:line="720" w:lineRule="auto"/>
        <w:ind w:left="-540" w:leftChars="-257" w:right="-874" w:rightChars="-416"/>
        <w:jc w:val="center"/>
        <w:rPr>
          <w:rFonts w:eastAsia="隶书"/>
          <w:b/>
          <w:bCs/>
          <w:color w:val="FF0000"/>
          <w:spacing w:val="60"/>
          <w:sz w:val="180"/>
          <w:szCs w:val="180"/>
        </w:rPr>
      </w:pPr>
      <w:r>
        <w:rPr>
          <w:rFonts w:hint="eastAsia" w:eastAsia="隶书"/>
          <w:b/>
          <w:bCs/>
          <w:color w:val="FF0000"/>
          <w:spacing w:val="60"/>
          <w:sz w:val="180"/>
          <w:szCs w:val="180"/>
        </w:rPr>
        <w:t>咨询报告</w:t>
      </w:r>
    </w:p>
    <w:p>
      <w:pPr>
        <w:adjustRightInd w:val="0"/>
        <w:snapToGrid w:val="0"/>
        <w:spacing w:line="560" w:lineRule="exact"/>
        <w:ind w:left="-540" w:leftChars="-257" w:right="-874" w:rightChars="-416" w:firstLine="539" w:firstLineChars="179"/>
        <w:rPr>
          <w:rFonts w:ascii="方正姚体" w:eastAsia="方正姚体"/>
          <w:b/>
          <w:color w:val="000000"/>
          <w:sz w:val="30"/>
          <w:szCs w:val="30"/>
        </w:rPr>
      </w:pPr>
    </w:p>
    <w:p>
      <w:pPr>
        <w:adjustRightInd w:val="0"/>
        <w:snapToGrid w:val="0"/>
        <w:spacing w:line="560" w:lineRule="exact"/>
        <w:jc w:val="center"/>
        <w:rPr>
          <w:rFonts w:ascii="黑体" w:hAnsi="华文中宋" w:eastAsia="黑体"/>
          <w:b/>
          <w:sz w:val="44"/>
          <w:szCs w:val="44"/>
        </w:rPr>
      </w:pPr>
      <w:r>
        <w:rPr>
          <w:rFonts w:hint="eastAsia" w:ascii="黑体" w:hAnsi="华文中宋" w:eastAsia="黑体"/>
          <w:b/>
          <w:sz w:val="44"/>
          <w:szCs w:val="44"/>
        </w:rPr>
        <w:t>智慧</w:t>
      </w:r>
      <w:r>
        <w:rPr>
          <w:rFonts w:ascii="黑体" w:hAnsi="华文中宋" w:eastAsia="黑体"/>
          <w:b/>
          <w:sz w:val="44"/>
          <w:szCs w:val="44"/>
        </w:rPr>
        <w:t>气象</w:t>
      </w:r>
      <w:r>
        <w:rPr>
          <w:rFonts w:hint="eastAsia" w:ascii="黑体" w:hAnsi="华文中宋" w:eastAsia="黑体"/>
          <w:b/>
          <w:sz w:val="44"/>
          <w:szCs w:val="44"/>
        </w:rPr>
        <w:t>理念的内涵与特征再认识</w:t>
      </w:r>
    </w:p>
    <w:p>
      <w:pPr>
        <w:adjustRightInd w:val="0"/>
        <w:snapToGrid w:val="0"/>
        <w:spacing w:line="560" w:lineRule="exact"/>
        <w:jc w:val="center"/>
        <w:rPr>
          <w:rFonts w:ascii="黑体" w:hAnsi="华文中宋" w:eastAsia="黑体"/>
          <w:b/>
          <w:sz w:val="32"/>
          <w:szCs w:val="32"/>
        </w:rPr>
      </w:pPr>
      <w:r>
        <w:rPr>
          <w:rFonts w:hint="eastAsia" w:ascii="黑体" w:hAnsi="华文中宋" w:eastAsia="黑体"/>
          <w:b/>
          <w:sz w:val="32"/>
          <w:szCs w:val="32"/>
        </w:rPr>
        <w:t>——气象信息化战略研究成果之一</w:t>
      </w:r>
    </w:p>
    <w:p>
      <w:pPr>
        <w:adjustRightInd w:val="0"/>
        <w:snapToGrid w:val="0"/>
        <w:spacing w:line="560" w:lineRule="exact"/>
        <w:ind w:firstLine="628" w:firstLineChars="196"/>
        <w:rPr>
          <w:rFonts w:ascii="华文仿宋" w:hAnsi="华文仿宋" w:eastAsia="华文仿宋"/>
          <w:b/>
          <w:sz w:val="32"/>
          <w:szCs w:val="32"/>
        </w:rPr>
      </w:pPr>
    </w:p>
    <w:p>
      <w:pPr>
        <w:rPr>
          <w:rFonts w:ascii="黑体" w:eastAsia="黑体"/>
          <w:b/>
          <w:bCs/>
          <w:kern w:val="36"/>
          <w:sz w:val="32"/>
          <w:szCs w:val="32"/>
        </w:rPr>
      </w:pPr>
      <w:r>
        <w:rPr>
          <w:rFonts w:hint="eastAsia" w:ascii="黑体" w:eastAsia="黑体"/>
          <w:b/>
          <w:bCs/>
          <w:kern w:val="36"/>
          <w:sz w:val="32"/>
          <w:szCs w:val="32"/>
        </w:rPr>
        <w:t>【摘要】</w:t>
      </w:r>
    </w:p>
    <w:p>
      <w:pPr>
        <w:adjustRightInd w:val="0"/>
        <w:snapToGrid w:val="0"/>
        <w:spacing w:line="560" w:lineRule="exact"/>
        <w:ind w:firstLine="640" w:firstLineChars="200"/>
        <w:rPr>
          <w:rFonts w:ascii="楷体" w:hAnsi="楷体" w:eastAsia="楷体"/>
          <w:sz w:val="32"/>
          <w:szCs w:val="32"/>
        </w:rPr>
      </w:pPr>
      <w:r>
        <w:rPr>
          <w:rFonts w:hint="eastAsia" w:ascii="黑体" w:hAnsi="黑体" w:eastAsia="黑体"/>
          <w:sz w:val="32"/>
          <w:szCs w:val="32"/>
        </w:rPr>
        <w:t>郑国光局长在2015年全国气象局长工作研讨会上强调，要就智慧气象的内涵、特征及其在气象现代化和改革发展中的地位与作用进一步研究。为此，发展研究中心在《关于实施智慧气象发展战略的思考和建议》（2015年第4期咨询报告）的基础上，借鉴目前智慧城市、智慧旅游、智慧林业、智慧交通等领域新的研究成果，结合气象信息化发展的自身特点，进一步凝练出智慧气象的内涵：智能的信息获取、精准的气象预报、开放的气象服务、精细的科学管理、深度的产业融合、持续的科技创新，以及“无处不在、充分共享、高度协同、全面融合、安全可控”等五个主要特征，为推进</w:t>
      </w:r>
      <w:r>
        <w:rPr>
          <w:rFonts w:hint="eastAsia" w:ascii="黑体" w:hAnsi="黑体" w:eastAsia="黑体" w:cs="黑体"/>
          <w:color w:val="000000"/>
          <w:kern w:val="0"/>
          <w:sz w:val="32"/>
          <w:szCs w:val="32"/>
        </w:rPr>
        <w:t>智慧气象健康可持续发展提供基础理论支持。</w:t>
      </w:r>
    </w:p>
    <w:p>
      <w:pPr>
        <w:spacing w:line="560" w:lineRule="exact"/>
        <w:ind w:firstLine="640" w:firstLineChars="200"/>
        <w:rPr>
          <w:rFonts w:ascii="仿宋_GB2312" w:hAnsi="黑体" w:eastAsia="仿宋_GB2312"/>
          <w:sz w:val="32"/>
          <w:szCs w:val="32"/>
        </w:rPr>
      </w:pPr>
    </w:p>
    <w:p>
      <w:pPr>
        <w:rPr>
          <w:rFonts w:ascii="黑体" w:eastAsia="黑体"/>
          <w:b/>
          <w:bCs/>
          <w:kern w:val="36"/>
          <w:sz w:val="32"/>
          <w:szCs w:val="32"/>
        </w:rPr>
      </w:pPr>
      <w:r>
        <w:rPr>
          <w:rFonts w:hint="eastAsia" w:ascii="黑体" w:eastAsia="黑体"/>
          <w:b/>
          <w:bCs/>
          <w:kern w:val="36"/>
          <w:sz w:val="32"/>
          <w:szCs w:val="32"/>
        </w:rPr>
        <w:t>【正文】</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当今，信息化发展已经历三个阶段，即从数字化到网络化再到智慧化。对此，我国政府给予了高度重视，在国务院文件中提出了发展智慧城市、智慧旅游、智慧环保、智慧物流、智慧国土、智慧医疗、智慧能源、智慧国土等若干政策措施。此外，多个政府部门还从自身发展需求出发，提出了智慧林业、智慧农业、智慧交通、智慧水利等若干行业的智慧化发展战略或开展了相关研究。发展智慧气象，既是形势使然，也是气象事业发展的必然趋势。深入研究并明确智慧气象的内涵与特征，有助于统一思想，形成共识，促进智慧气象的发展。</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智慧气象的内涵</w:t>
      </w:r>
    </w:p>
    <w:p>
      <w:pPr>
        <w:adjustRightInd w:val="0"/>
        <w:snapToGrid w:val="0"/>
        <w:spacing w:line="560" w:lineRule="exact"/>
        <w:ind w:firstLine="640" w:firstLineChars="200"/>
        <w:rPr>
          <w:rFonts w:ascii="仿宋" w:hAnsi="仿宋" w:eastAsia="仿宋"/>
          <w:sz w:val="32"/>
          <w:szCs w:val="32"/>
        </w:rPr>
      </w:pPr>
      <w:r>
        <w:rPr>
          <w:rFonts w:hint="eastAsia" w:ascii="仿宋_GB2312" w:hAnsi="仿宋" w:eastAsia="仿宋_GB2312"/>
          <w:sz w:val="32"/>
          <w:szCs w:val="32"/>
        </w:rPr>
        <w:t>智慧气象应包括：</w:t>
      </w:r>
      <w:r>
        <w:rPr>
          <w:rFonts w:hint="eastAsia" w:ascii="黑体" w:hAnsi="黑体" w:eastAsia="黑体"/>
          <w:bCs/>
          <w:sz w:val="32"/>
          <w:szCs w:val="32"/>
        </w:rPr>
        <w:t>智能的信息获取、精准的气象预报、开放的气象服务、精细的科学管理、深度的产业融合、持续的科技创新等6方面主要内涵</w:t>
      </w:r>
      <w:r>
        <w:rPr>
          <w:rFonts w:hint="eastAsia" w:ascii="仿宋_GB2312" w:hAnsi="仿宋" w:eastAsia="仿宋_GB2312"/>
          <w:sz w:val="32"/>
          <w:szCs w:val="32"/>
        </w:rPr>
        <w:t>。首先，智慧气象离不开气象“主业”，智慧业务、智慧服务和智慧管理是其三个最主要的方面，并可分为智能的信息获取、精准的气象预报、开放的气象服务和精细的科学管理等4项内容。其次，智慧气象不局限于气象“主业”，与农业、工业、交通、能源等其他产业融合，与智慧城市、智慧政府等协同发展，才能实现智慧气象并体现其价值，因此深度的产业融合也是智慧气象的必要内容。此外，智慧气象不是一成不变的，而是一个持续发展的过程，要以科技创新为动力，因此持续的科技创新也是其重要内容之一。</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智能的信息获取：</w:t>
      </w:r>
      <w:r>
        <w:rPr>
          <w:rFonts w:hint="eastAsia" w:ascii="仿宋_GB2312" w:hAnsi="仿宋" w:eastAsia="仿宋_GB2312"/>
          <w:sz w:val="32"/>
          <w:szCs w:val="32"/>
        </w:rPr>
        <w:t>它是在现有综合观测业务基础上的延伸。</w:t>
      </w:r>
      <w:r>
        <w:rPr>
          <w:rFonts w:hint="eastAsia" w:ascii="仿宋_GB2312" w:hAnsi="仿宋" w:eastAsia="仿宋_GB2312"/>
          <w:b/>
          <w:bCs/>
          <w:sz w:val="32"/>
          <w:szCs w:val="32"/>
        </w:rPr>
        <w:t>一是信息获取的目的更加多样</w:t>
      </w:r>
      <w:r>
        <w:rPr>
          <w:rFonts w:hint="eastAsia" w:ascii="仿宋_GB2312" w:hAnsi="仿宋" w:eastAsia="仿宋_GB2312"/>
          <w:sz w:val="32"/>
          <w:szCs w:val="32"/>
        </w:rPr>
        <w:t>：非但要具有感知自然界气象要素的能力，还要具备感知社会对气象服务新需求，以及气象业务系统自身实际状态的能力；</w:t>
      </w:r>
      <w:r>
        <w:rPr>
          <w:rFonts w:hint="eastAsia" w:ascii="仿宋_GB2312" w:hAnsi="仿宋" w:eastAsia="仿宋_GB2312"/>
          <w:b/>
          <w:bCs/>
          <w:sz w:val="32"/>
          <w:szCs w:val="32"/>
        </w:rPr>
        <w:t>二是信息获取的内容更加广泛</w:t>
      </w:r>
      <w:r>
        <w:rPr>
          <w:rFonts w:hint="eastAsia" w:ascii="仿宋_GB2312" w:hAnsi="仿宋" w:eastAsia="仿宋_GB2312"/>
          <w:sz w:val="32"/>
          <w:szCs w:val="32"/>
        </w:rPr>
        <w:t>：既包括比现在更加丰富的气象要素、运行状态信息，还包括国民经济数据、地理环境数据、其它产业数据、社交媒体信息等；</w:t>
      </w:r>
      <w:r>
        <w:rPr>
          <w:rFonts w:hint="eastAsia" w:ascii="仿宋_GB2312" w:hAnsi="仿宋" w:eastAsia="仿宋_GB2312"/>
          <w:b/>
          <w:bCs/>
          <w:sz w:val="32"/>
          <w:szCs w:val="32"/>
        </w:rPr>
        <w:t>三是信息获取的方式更加灵活</w:t>
      </w:r>
      <w:r>
        <w:rPr>
          <w:rFonts w:hint="eastAsia" w:ascii="仿宋_GB2312" w:hAnsi="仿宋" w:eastAsia="仿宋_GB2312"/>
          <w:sz w:val="32"/>
          <w:szCs w:val="32"/>
        </w:rPr>
        <w:t>：除了通过综合气象观测设备采集和部门共享数据外，物联网、移动互联网和大数据分析等也将成为信息的重要来源；</w:t>
      </w:r>
      <w:r>
        <w:rPr>
          <w:rFonts w:hint="eastAsia" w:ascii="仿宋_GB2312" w:hAnsi="仿宋" w:eastAsia="仿宋_GB2312"/>
          <w:b/>
          <w:bCs/>
          <w:sz w:val="32"/>
          <w:szCs w:val="32"/>
        </w:rPr>
        <w:t>四是系统运作更加智能</w:t>
      </w:r>
      <w:r>
        <w:rPr>
          <w:rFonts w:hint="eastAsia" w:ascii="仿宋_GB2312" w:hAnsi="仿宋" w:eastAsia="仿宋_GB2312"/>
          <w:sz w:val="32"/>
          <w:szCs w:val="32"/>
        </w:rPr>
        <w:t>：要实现业务灵活组织（如：自动按需调整自动观测或互联网数据收集的内容、频次等），并可以在一定程度上实现有用信息的自我发现（如：通过数据挖掘自动识别出公共服务新需求）；</w:t>
      </w:r>
      <w:r>
        <w:rPr>
          <w:rFonts w:hint="eastAsia" w:ascii="仿宋_GB2312" w:hAnsi="仿宋" w:eastAsia="仿宋_GB2312"/>
          <w:b/>
          <w:bCs/>
          <w:sz w:val="32"/>
          <w:szCs w:val="32"/>
        </w:rPr>
        <w:t>五是数据质量更有保障</w:t>
      </w:r>
      <w:r>
        <w:rPr>
          <w:rFonts w:hint="eastAsia" w:ascii="仿宋_GB2312" w:hAnsi="仿宋" w:eastAsia="仿宋_GB2312"/>
          <w:sz w:val="32"/>
          <w:szCs w:val="32"/>
        </w:rPr>
        <w:t>：传感器、物联网、数据关联分析等领域的技术进步和应用，将在减轻工作人员劳动强度的同时，实现数据质量的不断提高。</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sz w:val="32"/>
          <w:szCs w:val="32"/>
        </w:rPr>
        <w:t>精准的气象预报：</w:t>
      </w:r>
      <w:r>
        <w:rPr>
          <w:rFonts w:hint="eastAsia" w:ascii="仿宋_GB2312" w:hAnsi="仿宋" w:eastAsia="仿宋_GB2312"/>
          <w:b/>
          <w:bCs/>
          <w:sz w:val="32"/>
          <w:szCs w:val="32"/>
        </w:rPr>
        <w:t>一是预报内容更加丰富。</w:t>
      </w:r>
      <w:r>
        <w:rPr>
          <w:rFonts w:hint="eastAsia" w:ascii="仿宋_GB2312" w:hAnsi="仿宋" w:eastAsia="仿宋_GB2312"/>
          <w:sz w:val="32"/>
          <w:szCs w:val="32"/>
        </w:rPr>
        <w:t>既包括气象预报（包含气象要素的预报、气象灾害的预报、基于影响的预报等多个层次），又包括用户潜在服务需求预报、业务服务潜在风险和影响预报等。</w:t>
      </w:r>
      <w:r>
        <w:rPr>
          <w:rFonts w:hint="eastAsia" w:ascii="仿宋_GB2312" w:hAnsi="仿宋" w:eastAsia="仿宋_GB2312"/>
          <w:b/>
          <w:bCs/>
          <w:sz w:val="32"/>
          <w:szCs w:val="32"/>
        </w:rPr>
        <w:t>二是预报质量更加精准。</w:t>
      </w:r>
      <w:r>
        <w:rPr>
          <w:rFonts w:hint="eastAsia" w:ascii="仿宋_GB2312" w:hAnsi="仿宋" w:eastAsia="仿宋_GB2312"/>
          <w:sz w:val="32"/>
          <w:szCs w:val="32"/>
        </w:rPr>
        <w:t>精细化包括时空分辨率、气象预报的更新频次的提升等，准确则是指上述气象预报在时效、趋势、范围和量级等方面都能做到更加准确。</w:t>
      </w:r>
      <w:r>
        <w:rPr>
          <w:rFonts w:hint="eastAsia" w:ascii="仿宋_GB2312" w:hAnsi="仿宋" w:eastAsia="仿宋_GB2312"/>
          <w:b/>
          <w:bCs/>
          <w:sz w:val="32"/>
          <w:szCs w:val="32"/>
        </w:rPr>
        <w:t>三是预报技术更加先进。</w:t>
      </w:r>
      <w:r>
        <w:rPr>
          <w:rFonts w:hint="eastAsia" w:ascii="仿宋_GB2312" w:hAnsi="仿宋" w:eastAsia="仿宋_GB2312"/>
          <w:sz w:val="32"/>
          <w:szCs w:val="32"/>
        </w:rPr>
        <w:t>将云计算技术、大数据处理技术、数据挖掘技术、可视化技术等信息技术与传统气象预报技术相结合，既可以增强数据处理能力，又有可能催生新的科技理论和预报方法。</w:t>
      </w:r>
      <w:r>
        <w:rPr>
          <w:rFonts w:hint="eastAsia" w:ascii="仿宋_GB2312" w:hAnsi="仿宋" w:eastAsia="仿宋_GB2312"/>
          <w:b/>
          <w:bCs/>
          <w:sz w:val="32"/>
          <w:szCs w:val="32"/>
        </w:rPr>
        <w:t>四是预报结果展示更加生动。</w:t>
      </w:r>
      <w:r>
        <w:rPr>
          <w:rFonts w:hint="eastAsia" w:ascii="仿宋_GB2312" w:hAnsi="仿宋" w:eastAsia="仿宋_GB2312"/>
          <w:sz w:val="32"/>
          <w:szCs w:val="32"/>
        </w:rPr>
        <w:t>能够将现实与虚拟实景相结合，以任意视角、任意切割方式、任意的视觉映射方式交互地展示预报结果。</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sz w:val="32"/>
          <w:szCs w:val="32"/>
        </w:rPr>
        <w:t>开放的气象服务：</w:t>
      </w:r>
      <w:r>
        <w:rPr>
          <w:rFonts w:hint="eastAsia" w:ascii="仿宋_GB2312" w:hAnsi="仿宋" w:eastAsia="仿宋_GB2312"/>
          <w:b/>
          <w:bCs/>
          <w:sz w:val="32"/>
          <w:szCs w:val="32"/>
        </w:rPr>
        <w:t>更开放的服务理念</w:t>
      </w:r>
      <w:r>
        <w:rPr>
          <w:rFonts w:hint="eastAsia" w:ascii="仿宋_GB2312" w:hAnsi="仿宋" w:eastAsia="仿宋_GB2312"/>
          <w:sz w:val="32"/>
          <w:szCs w:val="32"/>
        </w:rPr>
        <w:t>——深化合作、扩大开放、共享资源、共同发力，实行更加积极主动的开放战略；</w:t>
      </w:r>
      <w:r>
        <w:rPr>
          <w:rFonts w:hint="eastAsia" w:ascii="仿宋_GB2312" w:hAnsi="仿宋" w:eastAsia="仿宋_GB2312"/>
          <w:b/>
          <w:bCs/>
          <w:sz w:val="32"/>
          <w:szCs w:val="32"/>
        </w:rPr>
        <w:t>更开放的服务市场</w:t>
      </w:r>
      <w:r>
        <w:rPr>
          <w:rFonts w:hint="eastAsia" w:ascii="仿宋_GB2312" w:hAnsi="仿宋" w:eastAsia="仿宋_GB2312"/>
          <w:sz w:val="32"/>
          <w:szCs w:val="32"/>
        </w:rPr>
        <w:t>——打破垄断，服务市场机制更加完善，并逐步形成“大众创业、万众创新”的新局面；</w:t>
      </w:r>
      <w:r>
        <w:rPr>
          <w:rFonts w:hint="eastAsia" w:ascii="仿宋_GB2312" w:hAnsi="仿宋" w:eastAsia="仿宋_GB2312"/>
          <w:b/>
          <w:bCs/>
          <w:sz w:val="32"/>
          <w:szCs w:val="32"/>
        </w:rPr>
        <w:t>更开放的监督管理</w:t>
      </w:r>
      <w:r>
        <w:rPr>
          <w:rFonts w:hint="eastAsia" w:ascii="仿宋_GB2312" w:hAnsi="仿宋" w:eastAsia="仿宋_GB2312"/>
          <w:sz w:val="32"/>
          <w:szCs w:val="32"/>
        </w:rPr>
        <w:t>——中国气象局作为行业主管部门，负责引导气象服务市场健康发展，对气象服务市场的监管信息和监管程序也更加公开、透明；</w:t>
      </w:r>
      <w:r>
        <w:rPr>
          <w:rFonts w:hint="eastAsia" w:ascii="仿宋_GB2312" w:hAnsi="仿宋" w:eastAsia="仿宋_GB2312"/>
          <w:b/>
          <w:bCs/>
          <w:sz w:val="32"/>
          <w:szCs w:val="32"/>
        </w:rPr>
        <w:t>更普惠化的公众服务</w:t>
      </w:r>
      <w:r>
        <w:rPr>
          <w:rFonts w:hint="eastAsia" w:ascii="仿宋_GB2312" w:hAnsi="仿宋" w:eastAsia="仿宋_GB2312"/>
          <w:sz w:val="32"/>
          <w:szCs w:val="32"/>
        </w:rPr>
        <w:t>——实现基本公共气象服务均等化，更加敏捷地响应社会需求，让人人都能享受到个性化、专业化的气象服务，并在生产生活中获得巨大价值和最佳体验。</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sz w:val="32"/>
          <w:szCs w:val="32"/>
        </w:rPr>
        <w:t>精细的科学管理：</w:t>
      </w:r>
      <w:r>
        <w:rPr>
          <w:rFonts w:hint="eastAsia" w:ascii="仿宋_GB2312" w:hAnsi="仿宋" w:eastAsia="仿宋_GB2312"/>
          <w:sz w:val="32"/>
          <w:szCs w:val="32"/>
        </w:rPr>
        <w:t>智慧气象强调协同发展、资源共享、深度互联，必定会冲击传统的管理思维方式。</w:t>
      </w:r>
      <w:r>
        <w:rPr>
          <w:rFonts w:hint="eastAsia" w:ascii="仿宋_GB2312" w:hAnsi="仿宋" w:eastAsia="仿宋_GB2312"/>
          <w:b/>
          <w:bCs/>
          <w:sz w:val="32"/>
          <w:szCs w:val="32"/>
        </w:rPr>
        <w:t>一是变革管理理念。</w:t>
      </w:r>
      <w:r>
        <w:rPr>
          <w:rFonts w:hint="eastAsia" w:ascii="仿宋_GB2312" w:hAnsi="仿宋" w:eastAsia="仿宋_GB2312"/>
          <w:sz w:val="32"/>
          <w:szCs w:val="32"/>
        </w:rPr>
        <w:t>党的十八届三中全会首次在党的重要文献中提出了“政府治理”的概念，强调原来政府控制和管理的观念必须让位于规范、调控和服务的观念，政府管理由“自上而下”发号施令转变为政府、社会、市场、公民个人之间的合作与良性互动，建立新型的伙伴关系。</w:t>
      </w:r>
      <w:r>
        <w:rPr>
          <w:rFonts w:hint="eastAsia" w:ascii="仿宋_GB2312" w:hAnsi="仿宋" w:eastAsia="仿宋_GB2312"/>
          <w:b/>
          <w:bCs/>
          <w:sz w:val="32"/>
          <w:szCs w:val="32"/>
        </w:rPr>
        <w:t>二是提高管理效能。</w:t>
      </w:r>
      <w:r>
        <w:rPr>
          <w:rFonts w:hint="eastAsia" w:ascii="仿宋_GB2312" w:hAnsi="仿宋" w:eastAsia="仿宋_GB2312"/>
          <w:sz w:val="32"/>
          <w:szCs w:val="32"/>
        </w:rPr>
        <w:t>重视数据的分析和使用，综合处理业务、服务、行政、财务等各类数据，为气象内部事务、社会事务、行政审批、事中事后监管等精准管理提供决策支撑，提高管理的针对性和有效性。</w:t>
      </w:r>
      <w:r>
        <w:rPr>
          <w:rFonts w:hint="eastAsia" w:ascii="仿宋_GB2312" w:hAnsi="仿宋" w:eastAsia="仿宋_GB2312"/>
          <w:b/>
          <w:bCs/>
          <w:sz w:val="32"/>
          <w:szCs w:val="32"/>
        </w:rPr>
        <w:t>三是提高管理效率。</w:t>
      </w:r>
      <w:r>
        <w:rPr>
          <w:rFonts w:hint="eastAsia" w:ascii="仿宋_GB2312" w:hAnsi="仿宋" w:eastAsia="仿宋_GB2312"/>
          <w:sz w:val="32"/>
          <w:szCs w:val="32"/>
        </w:rPr>
        <w:t>通过信息化手段，减少人工处理环节，缩短处理流程，降低管理成本，在提高被管理者满意度的同时减轻管理者工作强度，使管理更加公平、公正、公开。</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sz w:val="32"/>
          <w:szCs w:val="32"/>
        </w:rPr>
        <w:t>深度的产业融合：</w:t>
      </w:r>
      <w:r>
        <w:rPr>
          <w:rFonts w:hint="eastAsia" w:ascii="仿宋_GB2312" w:hAnsi="仿宋" w:eastAsia="仿宋_GB2312"/>
          <w:sz w:val="32"/>
          <w:szCs w:val="32"/>
        </w:rPr>
        <w:t>产业融合可分为产业渗透、产业交叉和产业重组三类。对于智慧气象而言，</w:t>
      </w:r>
      <w:r>
        <w:rPr>
          <w:rFonts w:hint="eastAsia" w:ascii="仿宋_GB2312" w:hAnsi="仿宋" w:eastAsia="仿宋_GB2312"/>
          <w:b/>
          <w:bCs/>
          <w:sz w:val="32"/>
          <w:szCs w:val="32"/>
        </w:rPr>
        <w:t>产业渗透</w:t>
      </w:r>
      <w:r>
        <w:rPr>
          <w:rFonts w:hint="eastAsia" w:ascii="仿宋_GB2312" w:hAnsi="仿宋" w:eastAsia="仿宋_GB2312"/>
          <w:sz w:val="32"/>
          <w:szCs w:val="32"/>
        </w:rPr>
        <w:t>就是气象深度渗透融入到智慧农业、智慧林业、智慧水利、智慧交通、智能家居、智能建筑、智慧城市等其他产业中；</w:t>
      </w:r>
      <w:r>
        <w:rPr>
          <w:rFonts w:hint="eastAsia" w:ascii="仿宋_GB2312" w:hAnsi="仿宋" w:eastAsia="仿宋_GB2312"/>
          <w:b/>
          <w:bCs/>
          <w:sz w:val="32"/>
          <w:szCs w:val="32"/>
        </w:rPr>
        <w:t>产业交叉</w:t>
      </w:r>
      <w:r>
        <w:rPr>
          <w:rFonts w:hint="eastAsia" w:ascii="仿宋_GB2312" w:hAnsi="仿宋" w:eastAsia="仿宋_GB2312"/>
          <w:sz w:val="32"/>
          <w:szCs w:val="32"/>
        </w:rPr>
        <w:t>是指气象与其他产业间功能的互补和延伸实现产业融合，如气象传感器的研发生产，将不再由传统气象观测设备厂商垄断，手机芯片厂商、智能家居厂商等也会加入其中，反之亦然；</w:t>
      </w:r>
      <w:r>
        <w:rPr>
          <w:rFonts w:hint="eastAsia" w:ascii="仿宋_GB2312" w:hAnsi="仿宋" w:eastAsia="仿宋_GB2312"/>
          <w:b/>
          <w:bCs/>
          <w:sz w:val="32"/>
          <w:szCs w:val="32"/>
        </w:rPr>
        <w:t>产业重组</w:t>
      </w:r>
      <w:r>
        <w:rPr>
          <w:rFonts w:hint="eastAsia" w:ascii="仿宋_GB2312" w:hAnsi="仿宋" w:eastAsia="仿宋_GB2312"/>
          <w:sz w:val="32"/>
          <w:szCs w:val="32"/>
        </w:rPr>
        <w:t>是指发生于气象和与气象具有紧密联系的产业之间，信息技术企业、气象服务企业、媒体服务企业、电子商务企业、清洁能源企业、交通运输企业等兼并重组，实现数据资源的整合，发挥更大效益。</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sz w:val="32"/>
          <w:szCs w:val="32"/>
        </w:rPr>
        <w:t>持续的科技创新：</w:t>
      </w:r>
      <w:r>
        <w:rPr>
          <w:rFonts w:hint="eastAsia" w:ascii="仿宋_GB2312" w:hAnsi="仿宋" w:eastAsia="仿宋_GB2312"/>
          <w:sz w:val="32"/>
          <w:szCs w:val="32"/>
        </w:rPr>
        <w:t>通过改善创新环境，实现以用户创新、开放创新、大众创新、协同创新为特征的以人为本可持续创新，创造并最大限度地发挥气象信息的价值，推动智慧气象可持续发展。为促进持续的科技创新，需要通过改善项目管理、加强成果转化，优化创新机制；通过共享气象数据资源、搭建开放的创新平台，改善创新环境，支撑万众创新；通过知识产权保护、市场公平竞争、收益合理分配，激发创新活力；通过创新成果智能发现、自由转让、有序转化，降低创新成本、提高创新效率。</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智慧气象的特征</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根据智慧气象的技术基础和内在要求，它应具备</w:t>
      </w:r>
      <w:r>
        <w:rPr>
          <w:rFonts w:hint="eastAsia" w:ascii="黑体" w:hAnsi="黑体" w:eastAsia="黑体"/>
          <w:bCs/>
          <w:sz w:val="32"/>
          <w:szCs w:val="32"/>
        </w:rPr>
        <w:t>无处不在、充分共享、高度协同、全面融合、安全可控</w:t>
      </w:r>
      <w:r>
        <w:rPr>
          <w:rFonts w:hint="eastAsia" w:ascii="仿宋_GB2312" w:hAnsi="仿宋" w:eastAsia="仿宋_GB2312"/>
          <w:bCs/>
          <w:sz w:val="32"/>
          <w:szCs w:val="32"/>
        </w:rPr>
        <w:t>5个特征</w:t>
      </w:r>
      <w:r>
        <w:rPr>
          <w:rFonts w:hint="eastAsia" w:ascii="仿宋_GB2312" w:hAnsi="仿宋" w:eastAsia="仿宋_GB2312"/>
          <w:b/>
          <w:bCs/>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bCs/>
          <w:sz w:val="32"/>
          <w:szCs w:val="32"/>
        </w:rPr>
        <w:t>无处不在</w:t>
      </w:r>
      <w:r>
        <w:rPr>
          <w:rFonts w:hint="eastAsia" w:ascii="仿宋_GB2312" w:hAnsi="仿宋" w:eastAsia="仿宋_GB2312"/>
          <w:sz w:val="32"/>
          <w:szCs w:val="32"/>
        </w:rPr>
        <w:t>是指实现与天气气候有关的人与物、人与人、物与物等之间的连接，气象感知无处不在，气象服务无处不在。</w:t>
      </w:r>
      <w:r>
        <w:rPr>
          <w:rFonts w:hint="eastAsia" w:ascii="黑体" w:hAnsi="黑体" w:eastAsia="黑体"/>
          <w:bCs/>
          <w:sz w:val="32"/>
          <w:szCs w:val="32"/>
        </w:rPr>
        <w:t>充分共享</w:t>
      </w:r>
      <w:r>
        <w:rPr>
          <w:rFonts w:hint="eastAsia" w:ascii="仿宋_GB2312" w:hAnsi="仿宋" w:eastAsia="仿宋_GB2312"/>
          <w:sz w:val="32"/>
          <w:szCs w:val="32"/>
        </w:rPr>
        <w:t>是指在互联互通的基础上，在平台的支撑下，各类气象信息基础设施、数据信息资源、技术资源、研发成果都能充分共享。</w:t>
      </w:r>
      <w:r>
        <w:rPr>
          <w:rFonts w:hint="eastAsia" w:ascii="黑体" w:hAnsi="黑体" w:eastAsia="黑体"/>
          <w:bCs/>
          <w:sz w:val="32"/>
          <w:szCs w:val="32"/>
        </w:rPr>
        <w:t>高度协同</w:t>
      </w:r>
      <w:r>
        <w:rPr>
          <w:rFonts w:hint="eastAsia" w:ascii="仿宋_GB2312" w:hAnsi="仿宋" w:eastAsia="仿宋_GB2312"/>
          <w:sz w:val="32"/>
          <w:szCs w:val="32"/>
        </w:rPr>
        <w:t>是指气象各业务之间，气象业务与科技之间，气象业务、服务、管理活动之间，气象系统与各行各业的经济社会系统之间能够和谐高效地协作，达到无缝连接、协同发展。</w:t>
      </w:r>
      <w:r>
        <w:rPr>
          <w:rFonts w:hint="eastAsia" w:ascii="黑体" w:hAnsi="黑体" w:eastAsia="黑体"/>
          <w:bCs/>
          <w:sz w:val="32"/>
          <w:szCs w:val="32"/>
        </w:rPr>
        <w:t>全面融合</w:t>
      </w:r>
      <w:r>
        <w:rPr>
          <w:rFonts w:hint="eastAsia" w:ascii="仿宋_GB2312" w:hAnsi="仿宋" w:eastAsia="仿宋_GB2312"/>
          <w:sz w:val="32"/>
          <w:szCs w:val="32"/>
        </w:rPr>
        <w:t>是指智慧气象融入到国民经济的各个领域和人们的衣食住行之中，促进气象数据的挖掘与应用，基于气象的影响来做出生产生活中的正确决策，以“互联网气象+”改进决策、改进生产、改善生活、改造传统产业，使消费者在生产生活中深刻地体会到处处“离不开”气象。</w:t>
      </w:r>
      <w:r>
        <w:rPr>
          <w:rFonts w:hint="eastAsia" w:ascii="黑体" w:hAnsi="黑体" w:eastAsia="黑体"/>
          <w:bCs/>
          <w:sz w:val="32"/>
          <w:szCs w:val="32"/>
        </w:rPr>
        <w:t>安全可控</w:t>
      </w:r>
      <w:r>
        <w:rPr>
          <w:rFonts w:hint="eastAsia" w:ascii="仿宋_GB2312" w:hAnsi="仿宋" w:eastAsia="仿宋_GB2312"/>
          <w:sz w:val="32"/>
          <w:szCs w:val="32"/>
        </w:rPr>
        <w:t>是指信息基础设施、气象数据信息资源、业务应用系统安全可靠，对新技术新应用应做到“先审后用、能控则放、用中管控、安全审计”，不断提高对风险隐患的智能分析与发现能力，趋利避害，把安全风险控制在可控范围内。</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智慧气象与当前气象信息化的对比</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智慧化是信息化发展的最新阶段。因此，现阶段的气象信息化建设可以被视为是发展智慧气象的前期准备，而智慧气象则是建立在现阶段气象信息化基础上的一种新状态、新阶段。与现阶段气象信息化建设相比，智慧气象阶段在发展目标、行为主体、关键技术、创新模式等方面将有所变化。</w:t>
      </w:r>
    </w:p>
    <w:p>
      <w:pPr>
        <w:adjustRightInd w:val="0"/>
        <w:snapToGrid w:val="0"/>
        <w:spacing w:line="560" w:lineRule="exact"/>
        <w:ind w:firstLine="640" w:firstLineChars="200"/>
        <w:rPr>
          <w:rFonts w:ascii="仿宋" w:hAnsi="仿宋" w:eastAsia="仿宋"/>
          <w:sz w:val="32"/>
          <w:szCs w:val="32"/>
        </w:rPr>
      </w:pPr>
      <w:r>
        <w:rPr>
          <w:rFonts w:hint="eastAsia" w:ascii="仿宋_GB2312" w:hAnsi="仿宋" w:eastAsia="仿宋_GB2312"/>
          <w:sz w:val="32"/>
          <w:szCs w:val="32"/>
        </w:rPr>
        <w:t>在</w:t>
      </w:r>
      <w:r>
        <w:rPr>
          <w:rFonts w:hint="eastAsia" w:ascii="黑体" w:hAnsi="黑体" w:eastAsia="黑体"/>
          <w:sz w:val="32"/>
          <w:szCs w:val="32"/>
        </w:rPr>
        <w:t>主要目标</w:t>
      </w:r>
      <w:r>
        <w:rPr>
          <w:rFonts w:hint="eastAsia" w:ascii="仿宋_GB2312" w:hAnsi="仿宋" w:eastAsia="仿宋_GB2312"/>
          <w:sz w:val="32"/>
          <w:szCs w:val="32"/>
        </w:rPr>
        <w:t>上，现阶段气象信息化侧重于用信息化手段提高工作效率和质量；而智慧气象阶段则更加强调要深入挖掘和发挥气象信息蕴含的经济价值、社会价值。在</w:t>
      </w:r>
      <w:r>
        <w:rPr>
          <w:rFonts w:hint="eastAsia" w:ascii="黑体" w:hAnsi="黑体" w:eastAsia="黑体"/>
          <w:sz w:val="32"/>
          <w:szCs w:val="32"/>
        </w:rPr>
        <w:t>行为主体</w:t>
      </w:r>
      <w:r>
        <w:rPr>
          <w:rFonts w:hint="eastAsia" w:ascii="仿宋_GB2312" w:hAnsi="仿宋" w:eastAsia="仿宋_GB2312"/>
          <w:sz w:val="32"/>
          <w:szCs w:val="32"/>
        </w:rPr>
        <w:t>上，现阶段气象信息化建设以气象部门为主体（也适度引入社会资源），气象部门内部又以国、省两级为主；智慧气象的建设主体则是社会各界力量，气象部门起引导和支撑作用，而在气象部门内部，省、市气象部门的作用将会更为突出，国家级气象业务单位的作用将由“主导”变为“引导”。在</w:t>
      </w:r>
      <w:r>
        <w:rPr>
          <w:rFonts w:hint="eastAsia" w:ascii="黑体" w:hAnsi="黑体" w:eastAsia="黑体"/>
          <w:sz w:val="32"/>
          <w:szCs w:val="32"/>
        </w:rPr>
        <w:t>关键技术</w:t>
      </w:r>
      <w:r>
        <w:rPr>
          <w:rFonts w:hint="eastAsia" w:ascii="仿宋_GB2312" w:hAnsi="仿宋" w:eastAsia="仿宋_GB2312"/>
          <w:sz w:val="32"/>
          <w:szCs w:val="32"/>
        </w:rPr>
        <w:t>上，智慧气象涉及面更广，除现阶段信息技术、气象专业技术外，还包括大量与导航定位、人工智能、工业控制、微电子等自然科学及其社会科学领域的技术。在</w:t>
      </w:r>
      <w:r>
        <w:rPr>
          <w:rFonts w:hint="eastAsia" w:ascii="黑体" w:hAnsi="黑体" w:eastAsia="黑体"/>
          <w:sz w:val="32"/>
          <w:szCs w:val="32"/>
        </w:rPr>
        <w:t>资源调度方式</w:t>
      </w:r>
      <w:r>
        <w:rPr>
          <w:rFonts w:hint="eastAsia" w:ascii="仿宋_GB2312" w:hAnsi="仿宋" w:eastAsia="仿宋_GB2312"/>
          <w:sz w:val="32"/>
          <w:szCs w:val="32"/>
        </w:rPr>
        <w:t>上，智慧气象将更加灵活、快捷，减少人工参与，由现阶段以静态、预分配为主的方式，向动态、智能、自组织方式发展。此外，智慧气象阶段“大众创业、万众创新”的</w:t>
      </w:r>
      <w:r>
        <w:rPr>
          <w:rFonts w:hint="eastAsia" w:ascii="黑体" w:hAnsi="黑体" w:eastAsia="黑体"/>
          <w:sz w:val="32"/>
          <w:szCs w:val="32"/>
        </w:rPr>
        <w:t>创新模式</w:t>
      </w:r>
      <w:r>
        <w:rPr>
          <w:rFonts w:hint="eastAsia" w:ascii="仿宋_GB2312" w:hAnsi="仿宋" w:eastAsia="仿宋_GB2312"/>
          <w:sz w:val="32"/>
          <w:szCs w:val="32"/>
        </w:rPr>
        <w:t>，将使科技创新具有很强的自发性，更贴近服务需求且能更快更好适应变化。</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表面上看，智慧气象最关注的是产业创新和创造价值，强调物联网、云计算、大数据等信息技术应用，而不仅是数值预报等天气预报技术。但深入分析可以看出，观测质量和预报准确率才是发展智慧气象最重要的基石。智慧气象离不开信息化，而信息化以数据为核心。数据资产是智慧气象服务业创新和创造价值的源泉。没有高质量的观测数据和精准的气象预报，气象数据与其它领域数据融合分析就可能产生出更多、更偏离事实的错误信息，用于服务生活、指导生产就会造成更为严重的损失。所以，智慧气象不能脱离气象“主业”，一定要重视气象业务质量的提高。</w:t>
      </w:r>
    </w:p>
    <w:p>
      <w:pPr>
        <w:adjustRightInd w:val="0"/>
        <w:snapToGrid w:val="0"/>
        <w:spacing w:line="560" w:lineRule="exact"/>
        <w:ind w:firstLine="640" w:firstLineChars="200"/>
        <w:rPr>
          <w:rFonts w:ascii="仿宋" w:hAnsi="仿宋" w:eastAsia="仿宋"/>
          <w:sz w:val="32"/>
          <w:szCs w:val="32"/>
        </w:rPr>
      </w:pPr>
    </w:p>
    <w:p>
      <w:pPr>
        <w:wordWrap w:val="0"/>
        <w:adjustRightInd w:val="0"/>
        <w:snapToGrid w:val="0"/>
        <w:spacing w:line="560" w:lineRule="exact"/>
        <w:ind w:right="40" w:firstLine="600"/>
        <w:jc w:val="right"/>
        <w:rPr>
          <w:rFonts w:hint="eastAsia" w:ascii="华文仿宋" w:hAnsi="华文仿宋" w:eastAsia="华文仿宋"/>
          <w:b/>
          <w:kern w:val="0"/>
          <w:sz w:val="32"/>
          <w:szCs w:val="32"/>
        </w:rPr>
      </w:pPr>
      <w:r>
        <w:rPr>
          <w:rFonts w:hint="eastAsia" w:ascii="华文仿宋" w:hAnsi="华文仿宋" w:eastAsia="华文仿宋"/>
          <w:b/>
          <w:kern w:val="0"/>
          <w:sz w:val="32"/>
          <w:szCs w:val="32"/>
        </w:rPr>
        <w:t xml:space="preserve">执笔人：张洪广 周 勇 胡爱军 沈文海 </w:t>
      </w:r>
    </w:p>
    <w:p>
      <w:pPr>
        <w:wordWrap w:val="0"/>
        <w:adjustRightInd w:val="0"/>
        <w:snapToGrid w:val="0"/>
        <w:spacing w:line="560" w:lineRule="exact"/>
        <w:ind w:right="40" w:firstLine="600"/>
        <w:jc w:val="right"/>
        <w:rPr>
          <w:rFonts w:hint="eastAsia" w:ascii="华文仿宋" w:hAnsi="华文仿宋" w:eastAsia="华文仿宋"/>
          <w:b/>
          <w:kern w:val="0"/>
          <w:sz w:val="32"/>
          <w:szCs w:val="32"/>
        </w:rPr>
      </w:pPr>
      <w:r>
        <w:rPr>
          <w:rFonts w:hint="eastAsia" w:ascii="华文仿宋" w:hAnsi="华文仿宋" w:eastAsia="华文仿宋"/>
          <w:b/>
          <w:kern w:val="0"/>
          <w:sz w:val="32"/>
          <w:szCs w:val="32"/>
        </w:rPr>
        <w:t>杨诗芳 冯裕健 龚江丽</w:t>
      </w:r>
    </w:p>
    <w:p>
      <w:pPr>
        <w:adjustRightInd w:val="0"/>
        <w:snapToGrid w:val="0"/>
        <w:spacing w:line="560" w:lineRule="exact"/>
        <w:ind w:right="40" w:firstLine="600"/>
        <w:jc w:val="right"/>
        <w:rPr>
          <w:rFonts w:hint="eastAsia" w:ascii="华文仿宋" w:hAnsi="华文仿宋" w:eastAsia="华文仿宋"/>
          <w:b/>
          <w:kern w:val="0"/>
          <w:sz w:val="32"/>
          <w:szCs w:val="32"/>
        </w:rPr>
      </w:pPr>
    </w:p>
    <w:p>
      <w:pPr>
        <w:adjustRightInd w:val="0"/>
        <w:snapToGrid w:val="0"/>
        <w:spacing w:line="560" w:lineRule="exact"/>
        <w:ind w:right="40" w:firstLine="600"/>
        <w:jc w:val="right"/>
        <w:rPr>
          <w:rFonts w:hint="eastAsia" w:ascii="华文仿宋" w:hAnsi="华文仿宋" w:eastAsia="华文仿宋"/>
          <w:b/>
          <w:kern w:val="0"/>
          <w:sz w:val="32"/>
          <w:szCs w:val="32"/>
        </w:rPr>
      </w:pPr>
    </w:p>
    <w:p>
      <w:pPr>
        <w:adjustRightInd w:val="0"/>
        <w:snapToGrid w:val="0"/>
        <w:spacing w:line="560" w:lineRule="exact"/>
        <w:ind w:right="40" w:firstLine="600"/>
        <w:jc w:val="right"/>
        <w:rPr>
          <w:rFonts w:hint="eastAsia" w:ascii="华文仿宋" w:hAnsi="华文仿宋" w:eastAsia="华文仿宋"/>
          <w:b/>
          <w:kern w:val="0"/>
          <w:sz w:val="32"/>
          <w:szCs w:val="32"/>
        </w:rPr>
      </w:pPr>
    </w:p>
    <w:p>
      <w:pPr>
        <w:adjustRightInd w:val="0"/>
        <w:snapToGrid w:val="0"/>
        <w:spacing w:line="560" w:lineRule="exact"/>
        <w:ind w:right="40" w:firstLine="600"/>
        <w:jc w:val="right"/>
        <w:rPr>
          <w:rFonts w:hint="eastAsia" w:ascii="华文仿宋" w:hAnsi="华文仿宋" w:eastAsia="华文仿宋"/>
          <w:b/>
          <w:kern w:val="0"/>
          <w:sz w:val="32"/>
          <w:szCs w:val="32"/>
        </w:rPr>
      </w:pPr>
    </w:p>
    <w:p>
      <w:pPr>
        <w:adjustRightInd w:val="0"/>
        <w:snapToGrid w:val="0"/>
        <w:spacing w:line="560" w:lineRule="exact"/>
        <w:ind w:right="40" w:firstLine="600"/>
        <w:jc w:val="right"/>
        <w:rPr>
          <w:rFonts w:hint="eastAsia" w:ascii="华文仿宋" w:hAnsi="华文仿宋" w:eastAsia="华文仿宋"/>
          <w:b/>
          <w:kern w:val="0"/>
          <w:sz w:val="32"/>
          <w:szCs w:val="32"/>
        </w:rPr>
      </w:pPr>
    </w:p>
    <w:p>
      <w:pPr>
        <w:adjustRightInd w:val="0"/>
        <w:snapToGrid w:val="0"/>
        <w:spacing w:line="560" w:lineRule="exact"/>
        <w:ind w:right="40" w:firstLine="600"/>
        <w:jc w:val="right"/>
        <w:rPr>
          <w:rFonts w:hint="eastAsia" w:ascii="华文仿宋" w:hAnsi="华文仿宋" w:eastAsia="华文仿宋"/>
          <w:b/>
          <w:kern w:val="0"/>
          <w:sz w:val="32"/>
          <w:szCs w:val="32"/>
        </w:rPr>
      </w:pPr>
    </w:p>
    <w:p>
      <w:pPr>
        <w:adjustRightInd w:val="0"/>
        <w:snapToGrid w:val="0"/>
        <w:spacing w:line="560" w:lineRule="exact"/>
        <w:ind w:right="40" w:firstLine="600"/>
        <w:jc w:val="right"/>
        <w:rPr>
          <w:rFonts w:hint="eastAsia" w:ascii="华文仿宋" w:hAnsi="华文仿宋" w:eastAsia="华文仿宋"/>
          <w:b/>
          <w:kern w:val="0"/>
          <w:sz w:val="32"/>
          <w:szCs w:val="32"/>
        </w:rPr>
      </w:pPr>
    </w:p>
    <w:p>
      <w:pPr>
        <w:adjustRightInd w:val="0"/>
        <w:snapToGrid w:val="0"/>
        <w:spacing w:line="560" w:lineRule="exact"/>
        <w:ind w:right="40" w:firstLine="600"/>
        <w:jc w:val="right"/>
        <w:rPr>
          <w:rFonts w:hint="eastAsia" w:ascii="华文仿宋" w:hAnsi="华文仿宋" w:eastAsia="华文仿宋"/>
          <w:b/>
          <w:kern w:val="0"/>
          <w:sz w:val="32"/>
          <w:szCs w:val="32"/>
        </w:rPr>
      </w:pPr>
    </w:p>
    <w:p>
      <w:pPr>
        <w:adjustRightInd w:val="0"/>
        <w:snapToGrid w:val="0"/>
        <w:spacing w:line="560" w:lineRule="exact"/>
        <w:ind w:right="40" w:firstLine="600"/>
        <w:jc w:val="right"/>
        <w:rPr>
          <w:rFonts w:ascii="华文仿宋" w:hAnsi="华文仿宋" w:eastAsia="华文仿宋"/>
          <w:b/>
          <w:kern w:val="0"/>
          <w:sz w:val="32"/>
          <w:szCs w:val="32"/>
        </w:rPr>
      </w:pPr>
      <w:bookmarkStart w:id="0" w:name="_GoBack"/>
      <w:bookmarkEnd w:id="0"/>
    </w:p>
    <w:sectPr>
      <w:footerReference r:id="rId3" w:type="default"/>
      <w:footerReference r:id="rId4" w:type="even"/>
      <w:footnotePr>
        <w:numRestart w:val="eachPage"/>
      </w:footnote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Fonts w:ascii="仿宋_GB2312" w:eastAsia="仿宋_GB2312"/>
        <w:sz w:val="30"/>
        <w:szCs w:val="30"/>
      </w:rPr>
    </w:pPr>
    <w:r>
      <w:rPr>
        <w:rFonts w:hint="eastAsia" w:ascii="仿宋_GB2312" w:eastAsia="仿宋_GB2312"/>
        <w:sz w:val="30"/>
        <w:szCs w:val="30"/>
      </w:rPr>
      <w:fldChar w:fldCharType="begin"/>
    </w:r>
    <w:r>
      <w:rPr>
        <w:rStyle w:val="15"/>
        <w:rFonts w:hint="eastAsia" w:ascii="仿宋_GB2312" w:eastAsia="仿宋_GB2312"/>
        <w:sz w:val="30"/>
        <w:szCs w:val="30"/>
      </w:rPr>
      <w:instrText xml:space="preserve">PAGE  </w:instrText>
    </w:r>
    <w:r>
      <w:rPr>
        <w:rFonts w:hint="eastAsia" w:ascii="仿宋_GB2312" w:eastAsia="仿宋_GB2312"/>
        <w:sz w:val="30"/>
        <w:szCs w:val="30"/>
      </w:rPr>
      <w:fldChar w:fldCharType="separate"/>
    </w:r>
    <w:r>
      <w:rPr>
        <w:rStyle w:val="15"/>
        <w:rFonts w:ascii="仿宋_GB2312" w:eastAsia="仿宋_GB2312"/>
        <w:sz w:val="30"/>
        <w:szCs w:val="30"/>
      </w:rPr>
      <w:t>- 8 -</w:t>
    </w:r>
    <w:r>
      <w:rPr>
        <w:rFonts w:hint="eastAsia" w:ascii="仿宋_GB2312" w:eastAsia="仿宋_GB2312"/>
        <w:sz w:val="30"/>
        <w:szCs w:val="30"/>
      </w:rPr>
      <w:fldChar w:fldCharType="end"/>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Pr>
    </w:pPr>
    <w:r>
      <w:fldChar w:fldCharType="begin"/>
    </w:r>
    <w:r>
      <w:rPr>
        <w:rStyle w:val="15"/>
      </w:rPr>
      <w:instrText xml:space="preserve">PAGE  </w:instrTex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619"/>
    <w:rsid w:val="00037FBF"/>
    <w:rsid w:val="0004294C"/>
    <w:rsid w:val="000454BB"/>
    <w:rsid w:val="00070799"/>
    <w:rsid w:val="00072249"/>
    <w:rsid w:val="00075308"/>
    <w:rsid w:val="000809B3"/>
    <w:rsid w:val="00087FB1"/>
    <w:rsid w:val="00093521"/>
    <w:rsid w:val="000B0BB7"/>
    <w:rsid w:val="000B0F98"/>
    <w:rsid w:val="000C1B01"/>
    <w:rsid w:val="000D0A55"/>
    <w:rsid w:val="000D4C6E"/>
    <w:rsid w:val="000D7FE1"/>
    <w:rsid w:val="000E4F07"/>
    <w:rsid w:val="000E62B1"/>
    <w:rsid w:val="000E7B21"/>
    <w:rsid w:val="001103AD"/>
    <w:rsid w:val="00111584"/>
    <w:rsid w:val="00126ACB"/>
    <w:rsid w:val="00130465"/>
    <w:rsid w:val="00131DE9"/>
    <w:rsid w:val="00147ED0"/>
    <w:rsid w:val="0015670B"/>
    <w:rsid w:val="00170402"/>
    <w:rsid w:val="00172A27"/>
    <w:rsid w:val="00174D1F"/>
    <w:rsid w:val="00180EEA"/>
    <w:rsid w:val="00181CA7"/>
    <w:rsid w:val="00184D66"/>
    <w:rsid w:val="00186730"/>
    <w:rsid w:val="001961C3"/>
    <w:rsid w:val="001B5A81"/>
    <w:rsid w:val="001B617C"/>
    <w:rsid w:val="001C15FB"/>
    <w:rsid w:val="001D0730"/>
    <w:rsid w:val="001E39B0"/>
    <w:rsid w:val="001F0D08"/>
    <w:rsid w:val="001F50D0"/>
    <w:rsid w:val="002018EF"/>
    <w:rsid w:val="00247007"/>
    <w:rsid w:val="0025187E"/>
    <w:rsid w:val="00251C7B"/>
    <w:rsid w:val="002537E0"/>
    <w:rsid w:val="00264132"/>
    <w:rsid w:val="002841B8"/>
    <w:rsid w:val="00286EF0"/>
    <w:rsid w:val="00287B68"/>
    <w:rsid w:val="00292C47"/>
    <w:rsid w:val="002B1916"/>
    <w:rsid w:val="002C32E8"/>
    <w:rsid w:val="002D078C"/>
    <w:rsid w:val="002E488D"/>
    <w:rsid w:val="0030261C"/>
    <w:rsid w:val="00303864"/>
    <w:rsid w:val="00313435"/>
    <w:rsid w:val="00323445"/>
    <w:rsid w:val="00327D98"/>
    <w:rsid w:val="00330895"/>
    <w:rsid w:val="003373F5"/>
    <w:rsid w:val="00337FE0"/>
    <w:rsid w:val="00345DC5"/>
    <w:rsid w:val="00356238"/>
    <w:rsid w:val="00366613"/>
    <w:rsid w:val="003761E8"/>
    <w:rsid w:val="003A1B31"/>
    <w:rsid w:val="003A3E31"/>
    <w:rsid w:val="003A537D"/>
    <w:rsid w:val="003A7774"/>
    <w:rsid w:val="003B0672"/>
    <w:rsid w:val="003B6B11"/>
    <w:rsid w:val="003C0341"/>
    <w:rsid w:val="003D65AE"/>
    <w:rsid w:val="003D6AD6"/>
    <w:rsid w:val="003E02E7"/>
    <w:rsid w:val="003E3F53"/>
    <w:rsid w:val="003E581F"/>
    <w:rsid w:val="0040158C"/>
    <w:rsid w:val="00403E28"/>
    <w:rsid w:val="00407336"/>
    <w:rsid w:val="004331F6"/>
    <w:rsid w:val="00446E44"/>
    <w:rsid w:val="00450D82"/>
    <w:rsid w:val="00462651"/>
    <w:rsid w:val="00472961"/>
    <w:rsid w:val="004816A9"/>
    <w:rsid w:val="004928D5"/>
    <w:rsid w:val="0049754F"/>
    <w:rsid w:val="004A1C38"/>
    <w:rsid w:val="004D0AEE"/>
    <w:rsid w:val="004D777E"/>
    <w:rsid w:val="004E529E"/>
    <w:rsid w:val="004F433D"/>
    <w:rsid w:val="0051027D"/>
    <w:rsid w:val="00514960"/>
    <w:rsid w:val="00552723"/>
    <w:rsid w:val="00554AA9"/>
    <w:rsid w:val="00567BCA"/>
    <w:rsid w:val="00584F49"/>
    <w:rsid w:val="005A6E6D"/>
    <w:rsid w:val="005B2CDB"/>
    <w:rsid w:val="005C7E54"/>
    <w:rsid w:val="005E4E3E"/>
    <w:rsid w:val="005F5FFA"/>
    <w:rsid w:val="00605C55"/>
    <w:rsid w:val="00613153"/>
    <w:rsid w:val="00617E2D"/>
    <w:rsid w:val="00640590"/>
    <w:rsid w:val="00644D57"/>
    <w:rsid w:val="00654ED4"/>
    <w:rsid w:val="00667F42"/>
    <w:rsid w:val="0067058C"/>
    <w:rsid w:val="006757DB"/>
    <w:rsid w:val="006769C7"/>
    <w:rsid w:val="00694963"/>
    <w:rsid w:val="006A2F9B"/>
    <w:rsid w:val="006A430E"/>
    <w:rsid w:val="006A4B7E"/>
    <w:rsid w:val="006A4D10"/>
    <w:rsid w:val="006B674F"/>
    <w:rsid w:val="006B7253"/>
    <w:rsid w:val="006C29AE"/>
    <w:rsid w:val="006C7EE3"/>
    <w:rsid w:val="006D530D"/>
    <w:rsid w:val="006E68ED"/>
    <w:rsid w:val="006F5302"/>
    <w:rsid w:val="006F6852"/>
    <w:rsid w:val="00714988"/>
    <w:rsid w:val="007168A5"/>
    <w:rsid w:val="007169AC"/>
    <w:rsid w:val="00723165"/>
    <w:rsid w:val="00725F2A"/>
    <w:rsid w:val="00727C83"/>
    <w:rsid w:val="007354B0"/>
    <w:rsid w:val="00751C6C"/>
    <w:rsid w:val="00763279"/>
    <w:rsid w:val="00787E36"/>
    <w:rsid w:val="00793DF2"/>
    <w:rsid w:val="0079667D"/>
    <w:rsid w:val="007A0A2B"/>
    <w:rsid w:val="007D7A01"/>
    <w:rsid w:val="008057F0"/>
    <w:rsid w:val="0080585A"/>
    <w:rsid w:val="008130BF"/>
    <w:rsid w:val="00813410"/>
    <w:rsid w:val="008137C6"/>
    <w:rsid w:val="00815112"/>
    <w:rsid w:val="00815C84"/>
    <w:rsid w:val="00820751"/>
    <w:rsid w:val="00821192"/>
    <w:rsid w:val="00831F16"/>
    <w:rsid w:val="00833BC8"/>
    <w:rsid w:val="00835820"/>
    <w:rsid w:val="008375D5"/>
    <w:rsid w:val="00845E10"/>
    <w:rsid w:val="0085056B"/>
    <w:rsid w:val="00876681"/>
    <w:rsid w:val="00894D38"/>
    <w:rsid w:val="008A33AE"/>
    <w:rsid w:val="008A595A"/>
    <w:rsid w:val="008B1271"/>
    <w:rsid w:val="008B3056"/>
    <w:rsid w:val="008C16B4"/>
    <w:rsid w:val="008C637D"/>
    <w:rsid w:val="008D0FD5"/>
    <w:rsid w:val="008E2F15"/>
    <w:rsid w:val="008E6E73"/>
    <w:rsid w:val="00900E18"/>
    <w:rsid w:val="00910980"/>
    <w:rsid w:val="00916E1F"/>
    <w:rsid w:val="00923984"/>
    <w:rsid w:val="00932199"/>
    <w:rsid w:val="00934D7A"/>
    <w:rsid w:val="009433E2"/>
    <w:rsid w:val="00944611"/>
    <w:rsid w:val="00951818"/>
    <w:rsid w:val="009547C8"/>
    <w:rsid w:val="009557BE"/>
    <w:rsid w:val="0096768D"/>
    <w:rsid w:val="00983D19"/>
    <w:rsid w:val="00987947"/>
    <w:rsid w:val="00987F88"/>
    <w:rsid w:val="009A0CC3"/>
    <w:rsid w:val="009A5C10"/>
    <w:rsid w:val="009B1C74"/>
    <w:rsid w:val="009B4600"/>
    <w:rsid w:val="009D3C2B"/>
    <w:rsid w:val="009D75F8"/>
    <w:rsid w:val="009E6B7D"/>
    <w:rsid w:val="009E7536"/>
    <w:rsid w:val="009F2A54"/>
    <w:rsid w:val="009F484D"/>
    <w:rsid w:val="00A02FD2"/>
    <w:rsid w:val="00A10B4F"/>
    <w:rsid w:val="00A114BA"/>
    <w:rsid w:val="00A255AC"/>
    <w:rsid w:val="00A302DC"/>
    <w:rsid w:val="00A3267A"/>
    <w:rsid w:val="00A34FF0"/>
    <w:rsid w:val="00A352D2"/>
    <w:rsid w:val="00A54DAD"/>
    <w:rsid w:val="00A6605B"/>
    <w:rsid w:val="00A735C7"/>
    <w:rsid w:val="00AA3955"/>
    <w:rsid w:val="00AA3AA1"/>
    <w:rsid w:val="00AA4002"/>
    <w:rsid w:val="00AB10DE"/>
    <w:rsid w:val="00AB17F7"/>
    <w:rsid w:val="00AD196A"/>
    <w:rsid w:val="00AD50D4"/>
    <w:rsid w:val="00AD6D00"/>
    <w:rsid w:val="00AE0865"/>
    <w:rsid w:val="00AF2ECE"/>
    <w:rsid w:val="00AF6752"/>
    <w:rsid w:val="00AF7FD5"/>
    <w:rsid w:val="00B05244"/>
    <w:rsid w:val="00B15972"/>
    <w:rsid w:val="00B206B8"/>
    <w:rsid w:val="00B3221F"/>
    <w:rsid w:val="00B52389"/>
    <w:rsid w:val="00B527FE"/>
    <w:rsid w:val="00B639F1"/>
    <w:rsid w:val="00B6522C"/>
    <w:rsid w:val="00B667F5"/>
    <w:rsid w:val="00B74AF2"/>
    <w:rsid w:val="00B764F1"/>
    <w:rsid w:val="00B769FF"/>
    <w:rsid w:val="00B820CF"/>
    <w:rsid w:val="00B84385"/>
    <w:rsid w:val="00B9359A"/>
    <w:rsid w:val="00B97463"/>
    <w:rsid w:val="00BA0E56"/>
    <w:rsid w:val="00BB4BF1"/>
    <w:rsid w:val="00BC3125"/>
    <w:rsid w:val="00BD1944"/>
    <w:rsid w:val="00BE22EC"/>
    <w:rsid w:val="00BE379D"/>
    <w:rsid w:val="00BE3994"/>
    <w:rsid w:val="00BE3C4E"/>
    <w:rsid w:val="00BF17FE"/>
    <w:rsid w:val="00C059AD"/>
    <w:rsid w:val="00C2042A"/>
    <w:rsid w:val="00C3190E"/>
    <w:rsid w:val="00C31DBC"/>
    <w:rsid w:val="00C36037"/>
    <w:rsid w:val="00C37F1D"/>
    <w:rsid w:val="00C54881"/>
    <w:rsid w:val="00C54BEB"/>
    <w:rsid w:val="00C556A2"/>
    <w:rsid w:val="00C652AD"/>
    <w:rsid w:val="00C753B7"/>
    <w:rsid w:val="00C80625"/>
    <w:rsid w:val="00C875CE"/>
    <w:rsid w:val="00C91A87"/>
    <w:rsid w:val="00C92083"/>
    <w:rsid w:val="00CA2391"/>
    <w:rsid w:val="00CF760E"/>
    <w:rsid w:val="00D00500"/>
    <w:rsid w:val="00D052F4"/>
    <w:rsid w:val="00D0645D"/>
    <w:rsid w:val="00D06D42"/>
    <w:rsid w:val="00D10F1A"/>
    <w:rsid w:val="00D46637"/>
    <w:rsid w:val="00D469D9"/>
    <w:rsid w:val="00D539A0"/>
    <w:rsid w:val="00D61DD9"/>
    <w:rsid w:val="00D81C52"/>
    <w:rsid w:val="00D93D61"/>
    <w:rsid w:val="00D97B25"/>
    <w:rsid w:val="00DA3B94"/>
    <w:rsid w:val="00DA416C"/>
    <w:rsid w:val="00DB4B77"/>
    <w:rsid w:val="00DB5EF4"/>
    <w:rsid w:val="00DC2149"/>
    <w:rsid w:val="00DC3C9C"/>
    <w:rsid w:val="00DC69BC"/>
    <w:rsid w:val="00DD3B7A"/>
    <w:rsid w:val="00DE0C15"/>
    <w:rsid w:val="00DF42B4"/>
    <w:rsid w:val="00DF616F"/>
    <w:rsid w:val="00E042E0"/>
    <w:rsid w:val="00E04562"/>
    <w:rsid w:val="00E073BF"/>
    <w:rsid w:val="00E17126"/>
    <w:rsid w:val="00E329B4"/>
    <w:rsid w:val="00E342C4"/>
    <w:rsid w:val="00E656C0"/>
    <w:rsid w:val="00E75599"/>
    <w:rsid w:val="00E757F9"/>
    <w:rsid w:val="00E917E6"/>
    <w:rsid w:val="00EA54C5"/>
    <w:rsid w:val="00EA5902"/>
    <w:rsid w:val="00EA5AFA"/>
    <w:rsid w:val="00EB5306"/>
    <w:rsid w:val="00EB5BCB"/>
    <w:rsid w:val="00EC37F4"/>
    <w:rsid w:val="00ED5459"/>
    <w:rsid w:val="00F027EC"/>
    <w:rsid w:val="00F048BD"/>
    <w:rsid w:val="00F11C5E"/>
    <w:rsid w:val="00F34FC0"/>
    <w:rsid w:val="00F4131C"/>
    <w:rsid w:val="00F47DF0"/>
    <w:rsid w:val="00F5130D"/>
    <w:rsid w:val="00F60BC8"/>
    <w:rsid w:val="00F757A6"/>
    <w:rsid w:val="00F83922"/>
    <w:rsid w:val="00FA15A7"/>
    <w:rsid w:val="00FD76ED"/>
    <w:rsid w:val="00FE0A3B"/>
    <w:rsid w:val="00FF26CF"/>
    <w:rsid w:val="00FF4870"/>
    <w:rsid w:val="014E4831"/>
    <w:rsid w:val="023C66B8"/>
    <w:rsid w:val="02CA179F"/>
    <w:rsid w:val="034B6875"/>
    <w:rsid w:val="073161DB"/>
    <w:rsid w:val="07485E01"/>
    <w:rsid w:val="09317E9F"/>
    <w:rsid w:val="0B1957C1"/>
    <w:rsid w:val="0B591E2E"/>
    <w:rsid w:val="0D0230E3"/>
    <w:rsid w:val="0DAF4501"/>
    <w:rsid w:val="105A7962"/>
    <w:rsid w:val="10F67952"/>
    <w:rsid w:val="118A2253"/>
    <w:rsid w:val="11C101AE"/>
    <w:rsid w:val="12C61FDA"/>
    <w:rsid w:val="14B8240A"/>
    <w:rsid w:val="15460D75"/>
    <w:rsid w:val="15D241DC"/>
    <w:rsid w:val="165F72C3"/>
    <w:rsid w:val="17DC7AB4"/>
    <w:rsid w:val="1A466C29"/>
    <w:rsid w:val="1B764D9C"/>
    <w:rsid w:val="1C912F6B"/>
    <w:rsid w:val="26665E8F"/>
    <w:rsid w:val="29E14AC1"/>
    <w:rsid w:val="2A994270"/>
    <w:rsid w:val="2AE568ED"/>
    <w:rsid w:val="2B3012EB"/>
    <w:rsid w:val="2B5272A1"/>
    <w:rsid w:val="30316E1F"/>
    <w:rsid w:val="32262752"/>
    <w:rsid w:val="3424001A"/>
    <w:rsid w:val="3751494E"/>
    <w:rsid w:val="376748F3"/>
    <w:rsid w:val="37CA3313"/>
    <w:rsid w:val="3A690764"/>
    <w:rsid w:val="3ABF1172"/>
    <w:rsid w:val="3AC10DF2"/>
    <w:rsid w:val="3D2A2071"/>
    <w:rsid w:val="3E5B195E"/>
    <w:rsid w:val="411D1161"/>
    <w:rsid w:val="419E6238"/>
    <w:rsid w:val="42585666"/>
    <w:rsid w:val="439C027C"/>
    <w:rsid w:val="44293363"/>
    <w:rsid w:val="46CC00B3"/>
    <w:rsid w:val="49626DF3"/>
    <w:rsid w:val="49CD3F23"/>
    <w:rsid w:val="4C43492C"/>
    <w:rsid w:val="4C5948D2"/>
    <w:rsid w:val="4CD17A13"/>
    <w:rsid w:val="4DF542F3"/>
    <w:rsid w:val="4FFF7BCB"/>
    <w:rsid w:val="50EE1A52"/>
    <w:rsid w:val="552B1DC7"/>
    <w:rsid w:val="55350158"/>
    <w:rsid w:val="56707EE0"/>
    <w:rsid w:val="57AB0B61"/>
    <w:rsid w:val="58591F7E"/>
    <w:rsid w:val="58C52932"/>
    <w:rsid w:val="58CF0CC3"/>
    <w:rsid w:val="5B0453E0"/>
    <w:rsid w:val="5E122AE4"/>
    <w:rsid w:val="5F01496B"/>
    <w:rsid w:val="63284D3B"/>
    <w:rsid w:val="655D4CDA"/>
    <w:rsid w:val="669E0079"/>
    <w:rsid w:val="675A6D1E"/>
    <w:rsid w:val="6BE31711"/>
    <w:rsid w:val="6C9D0B3F"/>
    <w:rsid w:val="6DA1296C"/>
    <w:rsid w:val="6E2D5DD3"/>
    <w:rsid w:val="708E6837"/>
    <w:rsid w:val="72CD4B67"/>
    <w:rsid w:val="73A722CC"/>
    <w:rsid w:val="74CC682B"/>
    <w:rsid w:val="753871DF"/>
    <w:rsid w:val="776158EB"/>
    <w:rsid w:val="77A65C39"/>
    <w:rsid w:val="77FA69E3"/>
    <w:rsid w:val="7AFC2853"/>
    <w:rsid w:val="7BBF3C16"/>
    <w:rsid w:val="7BD40338"/>
    <w:rsid w:val="7CE50175"/>
    <w:rsid w:val="7DFE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13">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25"/>
    <w:unhideWhenUsed/>
    <w:uiPriority w:val="99"/>
    <w:rPr>
      <w:rFonts w:ascii="Times New Roman" w:hAnsi="Times New Roman"/>
      <w:b/>
      <w:bCs/>
      <w:szCs w:val="24"/>
    </w:rPr>
  </w:style>
  <w:style w:type="paragraph" w:styleId="7">
    <w:name w:val="annotation text"/>
    <w:basedOn w:val="1"/>
    <w:link w:val="27"/>
    <w:unhideWhenUsed/>
    <w:uiPriority w:val="99"/>
    <w:pPr>
      <w:jc w:val="left"/>
    </w:pPr>
    <w:rPr>
      <w:rFonts w:ascii="Calibri" w:hAnsi="Calibri"/>
      <w:szCs w:val="22"/>
    </w:rPr>
  </w:style>
  <w:style w:type="paragraph" w:styleId="8">
    <w:name w:val="Balloon Text"/>
    <w:basedOn w:val="1"/>
    <w:semiHidden/>
    <w:uiPriority w:val="0"/>
    <w:rPr>
      <w:sz w:val="18"/>
      <w:szCs w:val="18"/>
    </w:rPr>
  </w:style>
  <w:style w:type="paragraph" w:styleId="9">
    <w:name w:val="footer"/>
    <w:basedOn w:val="1"/>
    <w:link w:val="23"/>
    <w:unhideWhenUsed/>
    <w:uiPriority w:val="99"/>
    <w:pPr>
      <w:tabs>
        <w:tab w:val="center" w:pos="4153"/>
        <w:tab w:val="right" w:pos="8306"/>
      </w:tabs>
      <w:snapToGrid w:val="0"/>
      <w:jc w:val="left"/>
    </w:pPr>
    <w:rPr>
      <w:sz w:val="18"/>
      <w:szCs w:val="18"/>
    </w:rPr>
  </w:style>
  <w:style w:type="paragraph" w:styleId="10">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6"/>
    <w:qFormat/>
    <w:uiPriority w:val="99"/>
    <w:pPr>
      <w:snapToGrid w:val="0"/>
      <w:jc w:val="left"/>
    </w:pPr>
    <w:rPr>
      <w:rFonts w:ascii="Calibri" w:hAnsi="Calibri"/>
      <w:kern w:val="0"/>
      <w:sz w:val="18"/>
      <w:szCs w:val="18"/>
    </w:rPr>
  </w:style>
  <w:style w:type="paragraph" w:styleId="12">
    <w:name w:val="Normal (Web)"/>
    <w:basedOn w:val="1"/>
    <w:qFormat/>
    <w:uiPriority w:val="0"/>
    <w:pPr>
      <w:widowControl/>
      <w:jc w:val="left"/>
    </w:pPr>
    <w:rPr>
      <w:rFonts w:ascii="宋体" w:hAnsi="宋体" w:cs="宋体"/>
      <w:kern w:val="0"/>
      <w:sz w:val="24"/>
    </w:rPr>
  </w:style>
  <w:style w:type="character" w:styleId="14">
    <w:name w:val="Strong"/>
    <w:qFormat/>
    <w:uiPriority w:val="22"/>
    <w:rPr>
      <w:b/>
      <w:bCs/>
    </w:rPr>
  </w:style>
  <w:style w:type="character" w:styleId="15">
    <w:name w:val="page number"/>
    <w:basedOn w:val="13"/>
    <w:uiPriority w:val="0"/>
  </w:style>
  <w:style w:type="character" w:styleId="16">
    <w:name w:val="Hyperlink"/>
    <w:unhideWhenUsed/>
    <w:uiPriority w:val="99"/>
    <w:rPr>
      <w:color w:val="0000FF"/>
      <w:u w:val="single"/>
    </w:rPr>
  </w:style>
  <w:style w:type="character" w:styleId="17">
    <w:name w:val="annotation reference"/>
    <w:unhideWhenUsed/>
    <w:uiPriority w:val="99"/>
    <w:rPr>
      <w:sz w:val="21"/>
      <w:szCs w:val="21"/>
    </w:rPr>
  </w:style>
  <w:style w:type="character" w:styleId="18">
    <w:name w:val="footnote reference"/>
    <w:semiHidden/>
    <w:qFormat/>
    <w:uiPriority w:val="99"/>
    <w:rPr>
      <w:rFonts w:cs="Times New Roman"/>
      <w:vertAlign w:val="superscript"/>
    </w:rPr>
  </w:style>
  <w:style w:type="table" w:styleId="20">
    <w:name w:val="Table Grid"/>
    <w:basedOn w:val="19"/>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1">
    <w:name w:val="浅色网格1"/>
    <w:basedOn w:val="19"/>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22">
    <w:name w:val="标题 1 Char"/>
    <w:link w:val="2"/>
    <w:qFormat/>
    <w:locked/>
    <w:uiPriority w:val="0"/>
    <w:rPr>
      <w:rFonts w:eastAsia="宋体"/>
      <w:b/>
      <w:bCs/>
      <w:kern w:val="44"/>
      <w:sz w:val="44"/>
      <w:szCs w:val="44"/>
      <w:lang w:val="en-US" w:eastAsia="zh-CN" w:bidi="ar-SA"/>
    </w:rPr>
  </w:style>
  <w:style w:type="character" w:customStyle="1" w:styleId="23">
    <w:name w:val="页脚 Char"/>
    <w:link w:val="9"/>
    <w:uiPriority w:val="99"/>
    <w:rPr>
      <w:rFonts w:ascii="Times New Roman" w:hAnsi="Times New Roman"/>
      <w:kern w:val="2"/>
      <w:sz w:val="18"/>
      <w:szCs w:val="18"/>
    </w:rPr>
  </w:style>
  <w:style w:type="character" w:customStyle="1" w:styleId="24">
    <w:name w:val="页眉 Char"/>
    <w:link w:val="10"/>
    <w:qFormat/>
    <w:uiPriority w:val="99"/>
    <w:rPr>
      <w:rFonts w:ascii="Times New Roman" w:hAnsi="Times New Roman"/>
      <w:kern w:val="2"/>
      <w:sz w:val="18"/>
      <w:szCs w:val="18"/>
    </w:rPr>
  </w:style>
  <w:style w:type="character" w:customStyle="1" w:styleId="25">
    <w:name w:val="批注主题 Char"/>
    <w:link w:val="6"/>
    <w:semiHidden/>
    <w:uiPriority w:val="99"/>
    <w:rPr>
      <w:rFonts w:ascii="Times New Roman" w:hAnsi="Times New Roman"/>
      <w:b/>
      <w:bCs/>
      <w:kern w:val="2"/>
      <w:sz w:val="21"/>
      <w:szCs w:val="24"/>
    </w:rPr>
  </w:style>
  <w:style w:type="character" w:customStyle="1" w:styleId="26">
    <w:name w:val="脚注文本 Char"/>
    <w:link w:val="11"/>
    <w:uiPriority w:val="99"/>
    <w:rPr>
      <w:sz w:val="18"/>
      <w:szCs w:val="18"/>
    </w:rPr>
  </w:style>
  <w:style w:type="character" w:customStyle="1" w:styleId="27">
    <w:name w:val="批注文字 Char"/>
    <w:link w:val="7"/>
    <w:semiHidden/>
    <w:qFormat/>
    <w:uiPriority w:val="99"/>
    <w:rPr>
      <w:kern w:val="2"/>
      <w:sz w:val="21"/>
      <w:szCs w:val="22"/>
    </w:rPr>
  </w:style>
  <w:style w:type="paragraph" w:customStyle="1" w:styleId="28">
    <w:name w:val="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
    <w:name w:val="Char1"/>
    <w:basedOn w:val="2"/>
    <w:uiPriority w:val="0"/>
    <w:pPr>
      <w:widowControl/>
      <w:snapToGrid w:val="0"/>
      <w:spacing w:before="240" w:after="240" w:line="348" w:lineRule="auto"/>
      <w:jc w:val="left"/>
    </w:pPr>
    <w:rPr>
      <w:rFonts w:ascii="Tahoma" w:hAnsi="Tahoma" w:cs="宋体"/>
      <w:bCs w:val="0"/>
      <w:sz w:val="24"/>
      <w:szCs w:val="20"/>
    </w:rPr>
  </w:style>
  <w:style w:type="paragraph" w:customStyle="1" w:styleId="30">
    <w:name w:val="Char Char1 Char"/>
    <w:basedOn w:val="2"/>
    <w:uiPriority w:val="0"/>
    <w:pPr>
      <w:snapToGrid w:val="0"/>
      <w:spacing w:before="240" w:after="240" w:line="348" w:lineRule="auto"/>
    </w:pPr>
    <w:rPr>
      <w:rFonts w:ascii="Tahoma" w:hAnsi="Tahoma"/>
      <w:bCs w:val="0"/>
      <w:kern w:val="2"/>
      <w:sz w:val="24"/>
      <w:szCs w:val="20"/>
    </w:rPr>
  </w:style>
  <w:style w:type="paragraph" w:customStyle="1" w:styleId="31">
    <w:name w:val="_Style 22"/>
    <w:basedOn w:val="1"/>
    <w:uiPriority w:val="0"/>
    <w:pPr>
      <w:adjustRightInd w:val="0"/>
      <w:spacing w:line="360" w:lineRule="auto"/>
    </w:pPr>
    <w:rPr>
      <w:szCs w:val="20"/>
    </w:rPr>
  </w:style>
  <w:style w:type="paragraph" w:customStyle="1" w:styleId="32">
    <w:name w:val="Char Char Char Char Char Char Char"/>
    <w:basedOn w:val="1"/>
    <w:uiPriority w:val="0"/>
    <w:pPr>
      <w:adjustRightInd w:val="0"/>
      <w:spacing w:line="360" w:lineRule="auto"/>
    </w:pPr>
    <w:rPr>
      <w:szCs w:val="20"/>
    </w:rPr>
  </w:style>
  <w:style w:type="paragraph" w:customStyle="1" w:styleId="33">
    <w:name w:val="Char"/>
    <w:basedOn w:val="1"/>
    <w:uiPriority w:val="0"/>
    <w:pPr>
      <w:widowControl/>
      <w:spacing w:after="160"/>
      <w:jc w:val="center"/>
    </w:pPr>
    <w:rPr>
      <w:rFonts w:ascii="宋体" w:eastAsia="仿宋_GB2312" w:cs="宋体"/>
      <w:color w:val="000000"/>
      <w:kern w:val="0"/>
      <w:sz w:val="24"/>
      <w:lang w:val="zh-CN"/>
    </w:rPr>
  </w:style>
  <w:style w:type="paragraph" w:customStyle="1" w:styleId="34">
    <w:name w:val="Char Char Char Char"/>
    <w:basedOn w:val="2"/>
    <w:uiPriority w:val="0"/>
    <w:pPr>
      <w:snapToGrid w:val="0"/>
      <w:spacing w:before="240" w:after="240" w:line="348" w:lineRule="auto"/>
    </w:pPr>
    <w:rPr>
      <w:rFonts w:ascii="Tahoma" w:hAnsi="Tahoma"/>
      <w:bCs w:val="0"/>
      <w:sz w:val="24"/>
      <w:szCs w:val="20"/>
    </w:rPr>
  </w:style>
  <w:style w:type="paragraph" w:customStyle="1" w:styleId="35">
    <w:name w:val="列出段落1"/>
    <w:basedOn w:val="1"/>
    <w:qFormat/>
    <w:uiPriority w:val="34"/>
    <w:pPr>
      <w:ind w:firstLine="420" w:firstLineChars="200"/>
    </w:pPr>
  </w:style>
  <w:style w:type="paragraph" w:customStyle="1" w:styleId="36">
    <w:name w:val="Char Char Char1"/>
    <w:basedOn w:val="1"/>
    <w:uiPriority w:val="0"/>
    <w:rPr>
      <w:rFonts w:ascii="宋体" w:hAnsi="宋体" w:cs="Courier New"/>
      <w:sz w:val="32"/>
      <w:szCs w:val="32"/>
    </w:rPr>
  </w:style>
  <w:style w:type="paragraph" w:customStyle="1" w:styleId="37">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FC6A0-05B2-4346-9033-E0BCCC0619E9}">
  <ds:schemaRefs/>
</ds:datastoreItem>
</file>

<file path=docProps/app.xml><?xml version="1.0" encoding="utf-8"?>
<Properties xmlns="http://schemas.openxmlformats.org/officeDocument/2006/extended-properties" xmlns:vt="http://schemas.openxmlformats.org/officeDocument/2006/docPropsVTypes">
  <Template>Normal</Template>
  <Pages>8</Pages>
  <Words>618</Words>
  <Characters>3525</Characters>
  <Lines>29</Lines>
  <Paragraphs>8</Paragraphs>
  <TotalTime>0</TotalTime>
  <ScaleCrop>false</ScaleCrop>
  <LinksUpToDate>false</LinksUpToDate>
  <CharactersWithSpaces>4135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2015-12-09T00:30:00Z</dcterms:created>
  <dc:creator>dell</dc:creator>
  <cp:lastModifiedBy>李伟</cp:lastModifiedBy>
  <cp:lastPrinted>2015-12-09T07:11:00Z</cp:lastPrinted>
  <dcterms:modified xsi:type="dcterms:W3CDTF">2018-01-04T02:02:33Z</dcterms:modified>
  <dc:title>内部参阅</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