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00" w:lineRule="exact"/>
        <w:ind w:left="0" w:right="0"/>
        <w:jc w:val="center"/>
        <w:textAlignment w:val="auto"/>
        <w:rPr>
          <w:rFonts w:ascii="Trebuchet MS" w:hAnsi="Trebuchet MS" w:cs="Trebuchet MS"/>
          <w:b/>
          <w:bCs/>
          <w:color w:val="auto"/>
          <w:sz w:val="32"/>
          <w:szCs w:val="32"/>
        </w:rPr>
      </w:pPr>
      <w:r>
        <w:rPr>
          <w:rFonts w:hint="default" w:ascii="Trebuchet MS" w:hAnsi="Trebuchet MS" w:eastAsia="宋体" w:cs="Trebuchet MS"/>
          <w:b/>
          <w:bCs/>
          <w:color w:val="auto"/>
          <w:kern w:val="0"/>
          <w:sz w:val="32"/>
          <w:szCs w:val="32"/>
          <w:bdr w:val="none" w:color="auto" w:sz="0" w:space="0"/>
          <w:lang w:val="en-US" w:eastAsia="zh-CN" w:bidi="ar"/>
        </w:rPr>
        <w:t>高等学校哲学社会科学繁荣计划专项资金管理办法</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第一条 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第二条 繁荣计划专项资金由中央财政安排，是用于支持高校思政课建设和哲学社会科学研究、学科发展、人才培养、队伍建设的专项资金。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第三条 繁荣计划专项资金管理，以促进高校哲学社会科学高质量发展为目标，以推动高校加快构建中国特色哲学社会科学学科体系、学术体系、话语体系为重点，坚持以人为本、遵循规律、突出绩效、规范安全的原则。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第四条 财政部根据国家教育事业发展规划，结合高校哲学社会科学资金需求、国家财力可能和绩效结果，将繁荣计划专项资金列入中央财政预算，核定支出规划和年度预算，对资金使用和管理情况进行监督指导。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第五条 教育部负责编制繁荣计划专项资金年度预算、具体组织实施和管理监督工作，健全绩效考评机制。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第六条 项目承担高校是繁荣计划专项资金管理的责任主体，建立健全专项资金管理制度，完善内部控制、绩效管理和监督约束机制，合理确定科研、财务、人事、资产、审计、监察等部门的责任和权限。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第七条 项目负责人是繁荣计划专项资金使用的直接责任人，对资金使用的合法合规性、合理性、真实性和相关性负责。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第八条 繁荣计划专项资金分为研究项目资金、非研究项目资金和管理资金。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第二章  研究项目资金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第九条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本办法所称的研究项目，包括教育部哲学社会科学研究项目，以及专项资金支持的研究基地、实验室、平台、智库等设立的研究项目。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第十条 直接费用是指在项目研究过程中发生的与之直接相关的费用，包括：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（一）业务费：指在项目研究过程中购置图书、收集资料、复印翻拍、检索文献、采集数据、翻译资料、印刷出版、会议、差旅、国际合作与交流等费用，以及其他相关支出。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（二）劳务费：指在项目实施过程中支付给参与研究的研究生、博士后、访问学者、聘用的研究人员、科研辅助人员等的劳务性费用，以及支付给临时聘请的咨询专家的费用等。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聘用人员的劳务费开支标准，参照当地社科研究从业人员平均工资水平，根据其在研究中承担的工作任务确定，其由单位缴纳的社会保险补助、住房公积金等纳入劳务费科目列支。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支付给临时聘请的咨询专家的费用，不得支付给参与本项目及所属课题研究和管理的相关人员，其管理按照国家有关规定执行。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（三）设备费：指在项目研究过程中购置设备和设备耗材、升级维护现有设备及租用外单位设备而发生的费用。应当合理购置设备，鼓励共享、租赁及对现有设备进行升级改造。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第十一条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第十二条 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跨单位合作的科研活动，确需外拨资金的，应当在预算中单独列示，并对合作研究单位资质、承担的研究任务、外拨资金额度等进行说明。间接费用外拨金额，由项目承担高校和合作研究单位协商确定。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第十三条 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第十四条 间接费用按照不超过项目资助总额的一定比例核定，具体如下：50万元及以下部分为40%；超过50万元至500万元的部分为30%；超过500万元的部分为20%。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对纯理论基础研究项目，间接费用比例50万元及以下部分可提高到不超过60%；超过50万元至500万元的部分可提高到不超过50%；超过500万元的部分可提高到不超过40%，具体范围由教育部商财政部确定。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第十五条 教育部根据繁荣计划建设目标和建设内容，组织专家重点对预算申请的目标相关性、政策相符性、经济合理性进行评审。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第十六条 项目负责人应当严格执行批准后的预算。预算有以下情况确需调剂的，由项目承担高校审批或备案。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（一）原预算未列示外拨资金，需要增列的；外拨资金如需调剂的，由项目负责人根据科研活动的实际需要提出申请，报项目承担高校审批。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（二）设备费预算如需调剂的，由项目负责人根据科研活动的实际需要提出申请，报项目承担高校审批。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（三）业务费、劳务费预算如需调剂的，由项目负责人根据科研活动实际需要自主安排，并报项目承担高校备案。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（四）间接费用预算总额不得调增，项目负责人与项目承担高校协商一致后可调减用于直接费用。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项目承担高校应当根据科研活动的实际需求及时办理调剂手续。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第十七条 包干制项目实施范围由教育部商财政部确定。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第十八条 项目承担高校应当制定项目资金包干制管理规定。管理规定应当包括资金使用范围和标准、各方责任、违规惩戒措施等内容，报教育部备案。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第十九条 包干制项目负责人应在承诺遵守科研伦理道德和学风诚信要求、经费全部用于与项目研究工作相关支出的基础上，本着科学、合理、规范、有效的原则使用资金，无需编制预算。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第二十条 包干制项目资金由项目负责人自主决定使用，对于本办法第十条、第十一条规定的开支范围内的资金由项目负责人自主决定使用，无需履行调剂程序。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对于项目承担高校为研究提供的房屋占用，日常水、电、气、暖等消耗及开展有关管理工作的补助支出，由项目承担高校根据实际管理需要，在充分征求项目负责人意见基础上确定合理标准。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对于激励科研人员的绩效支出，由项目负责人根据实际科研需要和相关薪酬标准自主确定，项目承担高校按照工资制度进行管理。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第三章  非研究项目资金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第二十一条 非研究项目资金支出是指支持研究基地、实验室、平台、智库、团队等建设费用。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非研究项目资金按照“稳定支持、长效机制，遵循规律、引导带动，绩效导向、动态调整”的原则进行资助和管理，具体开支范围如下：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（一）人员聘用经费：是指支付给聘用的编制以外、不开支财政补助人员经费的专职研究人员、管理人员和国外访问学者的费用。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（二）能力建设经费：是指用于改善科研条件，推进全方位能力建设的经费，主要包括开展的国内学术交流、国情调研、信息采集、成果转化、联合研究等费用。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（四）奖励经费：是指根据研究人员实际贡献安排的奖励性费用，安排奖励性费用应加大对优秀人才和成果的奖励力度。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开支奖励经费的情况包括：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1.坚持服务国家目标与鼓励自由探索相结合，在思想理论上有重大创新、传承文明上有突出贡献、学科建设上有显著推动；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2.围绕国家重大战略，在解决经济社会发展重大问题上有重要贡献，为党和政府提供决策服务上有重要建树；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3.阐释中国立场、发出中国声音，产生较大国际影响；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4.在方法创新上有重大突破；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5.教育部认定在其他方面作出突出贡献的。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第二十二条 对于非研究项目资金中国家已规定开支标准的科目，应当严格按照国家有关规定执行；对于国家未规定开支标准的科目，各类非研究项目应当建立健全经费开支标准和管理制度。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第二十三条 非研究项目资金不得用于本办法第二十一条开支范围外的行政事业单位人员经费和公用经费。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第四章  管理资金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第二十四条 管理资金支出是指教育部在实施繁荣计划过程中发生的工作所需费用，包括组织、协调、评审、鉴定和奖励费用等。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第二十五条 按规定对“教育部科学研究优秀成果奖（人文社会科学）”、有价值高水平的咨政成果进行奖励。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第二十六条 管理资金在实施过程中，按照“管、办、评”分离原则，推进政府购买服务，规范向社会力量购买服务的程序和方式。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第五章  预算执行与决算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第二十七条 教育部根据部门预算编制要求，将繁荣计划专项资金三年支出规划和年度预算建议数报送财政部，财政部按部门预算程序审核后批复年度预算。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第二十八条 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第二十九条 项目承担高校应当将资金纳入单位财务部门统一管理，单独核算，专款专用。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项目承担高校要根据项目负责人意见，及时将外拨资金拨付至项目合作单位，并加强对外拨资金的监督管理。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项目负责人应当结合科研活动需要，科学合理安排资金支出进度。项目承担高校应当关注资金执行进度，有效提高资金使用效益。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第三十条 繁荣计划专项资金按照国库集中支付制度规定拨付。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第三十一条 繁荣计划专项资金不得用于租赁办公场所和基础设施建设，不得用于开支各种罚款、捐赠、赞助、投资、偿还债务等，不得用于与项目工作无关的支出，严禁以任何方式牟取私利。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第三十二条 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专项资金支出属于政府采购范围的，应当按照政府采购有关规定执行。对科研急需的设备和耗材采取特事特办、随到随办的采购机制。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第三十三条 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第三十四条 凡使用繁荣计划专项资金形成的固定资产、无形资产等属于国有资产，应当按照国有资产管理的有关规定执行。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第三十五条 项目承担高校要切实强化法人责任，严格按照国家有关规定和本办法规定，指导项目负责人科学合理编制预算，规范预算调剂程序，加强对外拨资金、间接费用、结转结余资金等的审核和管理。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第三十六条 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第三十七条 项目承担高校应当改进财务报销管理方式，充分利用信息化手段，推动项目经费数字化、无纸化报销，建立符合科研实际需要的内部报销机制。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第三十八条 项目承担高校应将繁荣计划专项资金收支情况纳入单位年度决算统一编报。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第三十九条 完成研究后，项目负责人应当按照学校财务规定清理账目与资产，据实编报决算，并附财务部门审核确认的资金收支明细账，与结项验收材料一并报送教育部。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有外拨资金的项目，外拨资金决算经合作研究单位财务、审计部门审核并签署意见后，由项目负责人汇总编制项目资金决算。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第四十条 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对于非研究项目资金和管理资金，按照财政部关于结转结余资金管理有关规定执行。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第四十一条 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项目承担高校发生变更的，原承担高校应当及时向新承担高校转拨项目资金。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第六章  绩效管理与监督检查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第四十二条 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项目承担高校要切实加强绩效管理，引导科研资源向优秀人才和团队倾斜，提高科研经费使用效益。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第四十三条 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第四十四条 项目承担高校应当建立信息公开机制，在学校内部主动公开预算、预算调剂、决算、设备购置、外拨资金、劳务费发放、间接费用、结余资金使用等情况，自觉接受监督。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第四十五条 项目承担高校要动态监管经费使用并实时预警提醒。对项目承担高校和科研人员在科研经费管理使用过程中出现的失信情况，纳入信用记录管理，对严重失信行为实行追责和惩戒。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第四十六条 项目承担高校和项目负责人应当依法依规管理使用专项资金，不得存在以下行为：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（一） 虚假编报项目预算；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（二） 未对繁荣计划专项资金进行单独核算；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（三） 列支与项目任务无关的支出；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（四） 违反规定转拨项目资金；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（五） 通过虚假合同、虚假票据、虚构事项、虚报人员等弄虚作假方式，转移、套取、报销项目资金；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（六） 截留、挤占、挪用项目资金；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（七） 设置账外账、随意调账变动支出、随意修改记账凭证、提供虚假财务会计资料等；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（八） 在使用项目资金中以任何方式列支应由个人负担的有关费用和利用项目资金支付各种罚款、捐款、赞助、投资、偿还债务等；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（九） 其他违反国家财经纪律的行为。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第四十七条 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rebuchet MS" w:hAnsi="Trebuchet MS" w:cs="Trebuchet MS"/>
          <w:color w:val="auto"/>
          <w:sz w:val="24"/>
          <w:szCs w:val="24"/>
        </w:rPr>
      </w:pPr>
      <w:r>
        <w:rPr>
          <w:rStyle w:val="5"/>
          <w:rFonts w:hint="default" w:ascii="Trebuchet MS" w:hAnsi="Trebuchet MS" w:cs="Trebuchet MS"/>
          <w:color w:val="auto"/>
          <w:sz w:val="24"/>
          <w:szCs w:val="24"/>
          <w:bdr w:val="none" w:color="auto" w:sz="0" w:space="0"/>
        </w:rPr>
        <w:t>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第四十八条 本办法由财政部、教育部负责解释。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第四十九条 本办法自颁布之日起施行。2016年11月24日财政部、教育部印发的《高等学校哲学社会科学繁荣计划专项资金管理办法》（财教〔2016〕317号）同时废止。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r>
        <w:rPr>
          <w:rFonts w:hint="default" w:ascii="Trebuchet MS" w:hAnsi="Trebuchet MS" w:cs="Trebuchet MS"/>
          <w:color w:val="auto"/>
          <w:sz w:val="24"/>
          <w:szCs w:val="24"/>
          <w:bdr w:val="none" w:color="auto" w:sz="0" w:space="0"/>
        </w:rPr>
        <w:t>　　第五十条 各项目承担高校要依据本办法修订完善内部相关管理办法。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rebuchet MS" w:hAnsi="Trebuchet MS" w:cs="Trebuchet MS"/>
          <w:color w:val="auto"/>
          <w:sz w:val="24"/>
          <w:szCs w:val="24"/>
        </w:rPr>
      </w:pPr>
    </w:p>
    <w:p>
      <w:pPr>
        <w:keepNext w:val="0"/>
        <w:keepLines w:val="0"/>
        <w:pageBreakBefore w:val="0"/>
        <w:kinsoku/>
        <w:wordWrap/>
        <w:overflowPunct/>
        <w:topLinePunct w:val="0"/>
        <w:autoSpaceDE/>
        <w:autoSpaceDN/>
        <w:bidi w:val="0"/>
        <w:adjustRightInd/>
        <w:snapToGrid/>
        <w:spacing w:line="500" w:lineRule="exact"/>
        <w:textAlignment w:val="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564F1"/>
    <w:rsid w:val="7AD5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2022-01-29T01:40:00Z</dcterms:created>
  <dc:creator>李伟</dc:creator>
  <cp:lastModifiedBy>李伟</cp:lastModifiedBy>
  <dcterms:modified xsi:type="dcterms:W3CDTF">2022-01-29T01:41:14Z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71B1092393F9418B8F2AE0FCA8CC1F8F</vt:lpwstr>
  </property>
</Properties>
</file>