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Times New Roman" w:hAnsi="Times New Roman" w:eastAsia="方正黑体_GBK" w:cs="Times New Roman"/>
          <w:sz w:val="32"/>
          <w:szCs w:val="32"/>
        </w:rPr>
      </w:pPr>
      <w:bookmarkStart w:id="0" w:name="_GoBack"/>
      <w:bookmarkEnd w:id="0"/>
      <w:r>
        <w:rPr>
          <w:rFonts w:ascii="Times New Roman" w:hAnsi="Times New Roman" w:eastAsia="方正黑体_GBK" w:cs="Times New Roman"/>
          <w:sz w:val="32"/>
          <w:szCs w:val="32"/>
        </w:rPr>
        <w:t>附件1</w:t>
      </w:r>
    </w:p>
    <w:p>
      <w:pPr>
        <w:widowControl/>
        <w:jc w:val="center"/>
        <w:rPr>
          <w:rFonts w:ascii="Times New Roman" w:hAnsi="Times New Roman" w:cs="Times New Roman"/>
        </w:rPr>
      </w:pPr>
      <w:r>
        <w:rPr>
          <w:rFonts w:ascii="Times New Roman" w:hAnsi="方正小标宋_GBK" w:eastAsia="方正小标宋_GBK" w:cs="Times New Roman"/>
          <w:bCs/>
          <w:color w:val="3D3D3D"/>
          <w:kern w:val="0"/>
          <w:sz w:val="44"/>
          <w:szCs w:val="44"/>
          <w:shd w:val="clear" w:color="auto" w:fill="FFFFFF"/>
        </w:rPr>
        <w:t>南京市宏观经济研究中心课题研究要点</w:t>
      </w:r>
    </w:p>
    <w:p>
      <w:pPr>
        <w:rPr>
          <w:rFonts w:ascii="Times New Roman" w:hAnsi="Times New Roman" w:cs="Times New Roman"/>
        </w:rPr>
      </w:pPr>
    </w:p>
    <w:p>
      <w:pPr>
        <w:pStyle w:val="4"/>
        <w:widowControl/>
        <w:spacing w:beforeAutospacing="0" w:afterAutospacing="0" w:line="600" w:lineRule="atLeast"/>
        <w:ind w:firstLine="645"/>
        <w:rPr>
          <w:rFonts w:ascii="Times New Roman" w:hAnsi="Times New Roman" w:eastAsia="方正黑体_GBK"/>
          <w:sz w:val="32"/>
          <w:szCs w:val="32"/>
        </w:rPr>
      </w:pPr>
      <w:r>
        <w:rPr>
          <w:rFonts w:hint="eastAsia" w:ascii="Times New Roman" w:hAnsi="Times New Roman" w:eastAsia="方正黑体_GBK"/>
          <w:color w:val="111111"/>
          <w:sz w:val="32"/>
          <w:szCs w:val="32"/>
          <w:shd w:val="clear" w:color="auto" w:fill="FFFFFF"/>
        </w:rPr>
        <w:t>一</w:t>
      </w:r>
      <w:r>
        <w:rPr>
          <w:rFonts w:ascii="Times New Roman" w:hAnsi="Times New Roman" w:eastAsia="方正黑体_GBK"/>
          <w:sz w:val="32"/>
          <w:szCs w:val="32"/>
        </w:rPr>
        <w:t>、</w:t>
      </w:r>
      <w:r>
        <w:rPr>
          <w:rFonts w:hint="eastAsia" w:ascii="Times New Roman" w:hAnsi="Times New Roman" w:eastAsia="方正黑体_GBK"/>
          <w:sz w:val="32"/>
          <w:szCs w:val="32"/>
        </w:rPr>
        <w:t>南京市建设现代化经济体系研究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1、研究如何围绕创新发展推动新旧动能转换、增强产业竞争力、推动绿色发展。</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2、研究如何建设有活力的市场体系。</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3、研究如何引领城乡区域协调发展、提高开放活力。</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4、研究如何充分发挥市场决定性作用、完善体制机制保障。</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5"/>
        <w:rPr>
          <w:rFonts w:ascii="Times New Roman" w:hAnsi="Times New Roman" w:eastAsia="方正黑体_GBK"/>
          <w:sz w:val="32"/>
          <w:szCs w:val="32"/>
        </w:rPr>
      </w:pPr>
      <w:r>
        <w:rPr>
          <w:rFonts w:hint="eastAsia" w:ascii="Times New Roman" w:hAnsi="Times New Roman" w:eastAsia="方正黑体_GBK"/>
          <w:color w:val="111111"/>
          <w:sz w:val="32"/>
          <w:szCs w:val="32"/>
          <w:shd w:val="clear" w:color="auto" w:fill="FFFFFF"/>
        </w:rPr>
        <w:t>二</w:t>
      </w:r>
      <w:r>
        <w:rPr>
          <w:rFonts w:ascii="Times New Roman" w:hAnsi="Times New Roman" w:eastAsia="方正黑体_GBK"/>
          <w:color w:val="111111"/>
          <w:sz w:val="32"/>
          <w:szCs w:val="32"/>
          <w:shd w:val="clear" w:color="auto" w:fill="FFFFFF"/>
        </w:rPr>
        <w:t>、</w:t>
      </w:r>
      <w:r>
        <w:rPr>
          <w:rFonts w:hint="eastAsia" w:ascii="Times New Roman" w:hAnsi="Times New Roman" w:eastAsia="方正黑体_GBK"/>
          <w:sz w:val="32"/>
          <w:szCs w:val="32"/>
        </w:rPr>
        <w:t>“后疫情”时代南京加快高质量发展研究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1、全面评估疫情对南京经济社会发展造成的影响。</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2、分析南京高质量发展进程中的存在主要矛盾和薄弱环节。</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3、提出南京推进高质量发展的总体思路和路径。</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4、在“危中寻机”中提出南京加快高质量发展的对策和建议。</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5"/>
        <w:rPr>
          <w:rFonts w:ascii="Times New Roman" w:hAnsi="Times New Roman" w:eastAsia="方正黑体_GBK"/>
          <w:sz w:val="32"/>
          <w:szCs w:val="32"/>
        </w:rPr>
      </w:pPr>
      <w:r>
        <w:rPr>
          <w:rFonts w:hint="eastAsia" w:ascii="Times New Roman" w:hAnsi="Times New Roman" w:eastAsia="方正黑体_GBK"/>
          <w:color w:val="111111"/>
          <w:sz w:val="32"/>
          <w:szCs w:val="32"/>
          <w:shd w:val="clear" w:color="auto" w:fill="FFFFFF"/>
        </w:rPr>
        <w:t>三</w:t>
      </w:r>
      <w:r>
        <w:rPr>
          <w:rFonts w:ascii="Times New Roman" w:hAnsi="Times New Roman" w:eastAsia="方正黑体_GBK"/>
          <w:color w:val="111111"/>
          <w:sz w:val="32"/>
          <w:szCs w:val="32"/>
          <w:shd w:val="clear" w:color="auto" w:fill="FFFFFF"/>
        </w:rPr>
        <w:t>、</w:t>
      </w:r>
      <w:r>
        <w:rPr>
          <w:rFonts w:hint="eastAsia" w:ascii="Times New Roman" w:hAnsi="Times New Roman" w:eastAsia="方正黑体_GBK"/>
          <w:sz w:val="32"/>
          <w:szCs w:val="32"/>
        </w:rPr>
        <w:t>南京长江经济带绿色发展国际对标研究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1、对标先进城市。选取全球内河流域绿色发展标杆城市，分析流域保护和绿色发展方面的经验和做法。</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2、分析问题差距。分析南京与标杆城市的问题差距，研究绿色发展的理论框架或指标体系。</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3、提出对策建议。结合南京实际及特色，提出更高水平推动绿色发展的对策建议。</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5"/>
        <w:rPr>
          <w:rFonts w:ascii="Times New Roman" w:hAnsi="Times New Roman" w:eastAsia="方正黑体_GBK"/>
          <w:color w:val="111111"/>
          <w:sz w:val="31"/>
          <w:szCs w:val="31"/>
          <w:shd w:val="clear" w:color="auto" w:fill="FFFFFF"/>
        </w:rPr>
      </w:pPr>
      <w:r>
        <w:rPr>
          <w:rFonts w:hint="eastAsia" w:ascii="Times New Roman" w:hAnsi="Times New Roman" w:eastAsia="方正黑体_GBK"/>
          <w:color w:val="111111"/>
          <w:sz w:val="32"/>
          <w:szCs w:val="32"/>
          <w:shd w:val="clear" w:color="auto" w:fill="FFFFFF"/>
        </w:rPr>
        <w:t>四</w:t>
      </w:r>
      <w:r>
        <w:rPr>
          <w:rFonts w:ascii="Times New Roman" w:hAnsi="Times New Roman" w:eastAsia="方正黑体_GBK"/>
          <w:color w:val="111111"/>
          <w:sz w:val="32"/>
          <w:szCs w:val="32"/>
          <w:shd w:val="clear" w:color="auto" w:fill="FFFFFF"/>
        </w:rPr>
        <w:t>、</w:t>
      </w:r>
      <w:r>
        <w:rPr>
          <w:rFonts w:hint="eastAsia" w:ascii="Times New Roman" w:hAnsi="Times New Roman" w:eastAsia="方正黑体_GBK"/>
          <w:sz w:val="32"/>
          <w:szCs w:val="32"/>
        </w:rPr>
        <w:t>南京推动长江经济带发展白皮书</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hint="eastAsia" w:ascii="Times New Roman" w:hAnsi="Times New Roman" w:eastAsia="方正仿宋_GBK"/>
          <w:sz w:val="32"/>
          <w:szCs w:val="32"/>
        </w:rPr>
      </w:pPr>
      <w:r>
        <w:rPr>
          <w:rFonts w:hint="eastAsia" w:ascii="Times New Roman" w:hAnsi="Times New Roman" w:eastAsia="方正仿宋_GBK"/>
          <w:sz w:val="32"/>
          <w:szCs w:val="32"/>
        </w:rPr>
        <w:t>1、收集基础数据。开展专业数据调查分析，系统收集长江南京段2016年至2019年的水域、岸线及沿江1公里范围内相关资源的基础数据。同时，扩展至南京市“十三五”以来高质量发展核心基础数据。</w:t>
      </w:r>
    </w:p>
    <w:p>
      <w:pPr>
        <w:pStyle w:val="4"/>
        <w:widowControl/>
        <w:spacing w:beforeAutospacing="0" w:afterAutospacing="0" w:line="600" w:lineRule="atLeast"/>
        <w:ind w:firstLine="645"/>
        <w:rPr>
          <w:rFonts w:hint="eastAsia" w:ascii="Times New Roman" w:hAnsi="Times New Roman" w:eastAsia="方正仿宋_GBK"/>
          <w:sz w:val="32"/>
          <w:szCs w:val="32"/>
        </w:rPr>
      </w:pPr>
      <w:r>
        <w:rPr>
          <w:rFonts w:hint="eastAsia" w:ascii="Times New Roman" w:hAnsi="Times New Roman" w:eastAsia="方正仿宋_GBK"/>
          <w:sz w:val="32"/>
          <w:szCs w:val="32"/>
        </w:rPr>
        <w:t>2、梳理总结工作成效。梳理2016年以来南京市在长江大保护和绿色高质量发展重点工作领域所取得的成效，提炼相关工作做法和经验。</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形成可视化成果。对收集的基础数据和工作成效，进行数据统计分析，运用地理空间统计分析技术，进行数据分析可视化集成，制作南京长江大保护和绿色高质量发展的可视化作品，全方位展示南京长江大保护的工作底数，精准明确工作发力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不超过15万元，包含可能发生的出差费用及项目评审费。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2020年6月30日前。</w:t>
      </w:r>
    </w:p>
    <w:p>
      <w:pPr>
        <w:pStyle w:val="4"/>
        <w:widowControl/>
        <w:spacing w:beforeAutospacing="0" w:afterAutospacing="0" w:line="600" w:lineRule="atLeast"/>
        <w:ind w:firstLine="645"/>
        <w:rPr>
          <w:rFonts w:ascii="Times New Roman" w:hAnsi="Times New Roman" w:eastAsia="方正黑体_GBK"/>
          <w:sz w:val="32"/>
          <w:szCs w:val="32"/>
        </w:rPr>
      </w:pPr>
      <w:r>
        <w:rPr>
          <w:rFonts w:ascii="Times New Roman" w:hAnsi="Times New Roman" w:eastAsia="方正黑体_GBK"/>
          <w:color w:val="111111"/>
          <w:sz w:val="32"/>
          <w:szCs w:val="32"/>
          <w:shd w:val="clear" w:color="auto" w:fill="FFFFFF"/>
        </w:rPr>
        <w:t>五、</w:t>
      </w:r>
      <w:r>
        <w:rPr>
          <w:rFonts w:hint="eastAsia" w:ascii="Times New Roman" w:hAnsi="Times New Roman" w:eastAsia="方正黑体_GBK"/>
          <w:sz w:val="32"/>
          <w:szCs w:val="32"/>
        </w:rPr>
        <w:t>打造南京国际航空物流枢纽的路径及对策研究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1、围绕“提升禄口机场在长三角世界级机场群重要枢纽地位”、“打造国际航空物流枢纽”，系统分析南京航空物流设施现有条件和内外部环境，明确南京国际航空物流枢纽的功能定位，提出分阶段发展目标。</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2、依据南京现有航空物流设施现状，提出打造南京国际航空物流枢纽的方案及路径。</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3、系统梳理制约南京国际航空物流枢纽建设的主要因素，提出针对性的对策建议。</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5"/>
        <w:rPr>
          <w:rFonts w:ascii="Times New Roman" w:hAnsi="Times New Roman" w:eastAsia="方正黑体_GBK"/>
          <w:sz w:val="32"/>
          <w:szCs w:val="32"/>
        </w:rPr>
      </w:pPr>
      <w:r>
        <w:rPr>
          <w:rFonts w:hint="eastAsia" w:ascii="Times New Roman" w:hAnsi="Times New Roman" w:eastAsia="方正黑体_GBK"/>
          <w:sz w:val="32"/>
          <w:szCs w:val="32"/>
        </w:rPr>
        <w:t>六</w:t>
      </w:r>
      <w:r>
        <w:rPr>
          <w:rFonts w:ascii="Times New Roman" w:hAnsi="Times New Roman" w:eastAsia="方正黑体_GBK"/>
          <w:sz w:val="32"/>
          <w:szCs w:val="32"/>
        </w:rPr>
        <w:t>、</w:t>
      </w:r>
      <w:r>
        <w:rPr>
          <w:rFonts w:hint="eastAsia" w:ascii="Times New Roman" w:hAnsi="Times New Roman" w:eastAsia="方正黑体_GBK"/>
          <w:sz w:val="32"/>
          <w:szCs w:val="32"/>
        </w:rPr>
        <w:t>南京美丽乡村发展提档升级路径研究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1、全面梳理南京美丽乡村建设的背景和发展要求。</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2、深入分析南京美丽乡村建设的现状和存在的问题。</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3、系统研究南京美丽乡村提档升级发展的具体路径。</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4、提出南京美丽乡村提档升级的政策建议。</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5"/>
        <w:rPr>
          <w:rFonts w:ascii="Times New Roman" w:hAnsi="Times New Roman" w:eastAsia="方正黑体_GBK"/>
          <w:sz w:val="32"/>
          <w:szCs w:val="32"/>
        </w:rPr>
      </w:pPr>
      <w:r>
        <w:rPr>
          <w:rFonts w:hint="eastAsia" w:ascii="Times New Roman" w:hAnsi="Times New Roman" w:eastAsia="方正黑体_GBK"/>
          <w:color w:val="111111"/>
          <w:sz w:val="32"/>
          <w:szCs w:val="32"/>
          <w:shd w:val="clear" w:color="auto" w:fill="FFFFFF"/>
        </w:rPr>
        <w:t>七</w:t>
      </w:r>
      <w:r>
        <w:rPr>
          <w:rFonts w:ascii="Times New Roman" w:hAnsi="Times New Roman" w:eastAsia="方正黑体_GBK"/>
          <w:color w:val="111111"/>
          <w:sz w:val="32"/>
          <w:szCs w:val="32"/>
          <w:shd w:val="clear" w:color="auto" w:fill="FFFFFF"/>
        </w:rPr>
        <w:t>、</w:t>
      </w:r>
      <w:r>
        <w:rPr>
          <w:rFonts w:hint="eastAsia" w:ascii="Times New Roman" w:hAnsi="Times New Roman" w:eastAsia="方正黑体_GBK"/>
          <w:sz w:val="32"/>
          <w:szCs w:val="32"/>
        </w:rPr>
        <w:t>南京板桥地区产业绿色发展研究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1、南京板桥地区梅钢搬迁后产业发展面临的机遇与挑战。</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2、提出南京板桥地区产业绿色发展的功能定位和主要目标。</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3、研究南京板桥地区产业绿色发展的路径选择。</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4、加快南京板桥地区产业绿色发展的政策建议。</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5"/>
        <w:rPr>
          <w:rFonts w:ascii="Times New Roman" w:hAnsi="Times New Roman" w:eastAsia="方正黑体_GBK"/>
          <w:sz w:val="32"/>
          <w:szCs w:val="32"/>
        </w:rPr>
      </w:pPr>
      <w:r>
        <w:rPr>
          <w:rFonts w:hint="eastAsia" w:ascii="Times New Roman" w:hAnsi="Times New Roman" w:eastAsia="方正黑体_GBK"/>
          <w:color w:val="111111"/>
          <w:sz w:val="32"/>
          <w:szCs w:val="32"/>
          <w:shd w:val="clear" w:color="auto" w:fill="FFFFFF"/>
        </w:rPr>
        <w:t>八</w:t>
      </w:r>
      <w:r>
        <w:rPr>
          <w:rFonts w:ascii="Times New Roman" w:hAnsi="Times New Roman" w:eastAsia="方正黑体_GBK"/>
          <w:color w:val="111111"/>
          <w:sz w:val="32"/>
          <w:szCs w:val="32"/>
          <w:shd w:val="clear" w:color="auto" w:fill="FFFFFF"/>
        </w:rPr>
        <w:t>、</w:t>
      </w:r>
      <w:r>
        <w:rPr>
          <w:rFonts w:hint="eastAsia" w:ascii="Times New Roman" w:hAnsi="Times New Roman" w:eastAsia="方正黑体_GBK"/>
          <w:sz w:val="32"/>
          <w:szCs w:val="32"/>
        </w:rPr>
        <w:t>2020年南京大数据经济社会发展季度报告</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1、“疫情”对南京经济影响的大数据分析。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2、南京就业形势大数据分析。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3、南京消费形势大数据分析。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4、南京创新企业发展大数据分析。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5、课题要分别完成4篇报告。</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不超过15万元，包含可能发生的出差费用及项目评审费。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2020年11月30日前。</w:t>
      </w:r>
    </w:p>
    <w:p>
      <w:pPr>
        <w:pStyle w:val="4"/>
        <w:widowControl/>
        <w:spacing w:beforeAutospacing="0" w:afterAutospacing="0" w:line="600" w:lineRule="atLeas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九</w:t>
      </w:r>
      <w:r>
        <w:rPr>
          <w:rFonts w:ascii="Times New Roman" w:hAnsi="Times New Roman" w:eastAsia="方正黑体_GBK"/>
          <w:sz w:val="32"/>
          <w:szCs w:val="32"/>
        </w:rPr>
        <w:t>、</w:t>
      </w:r>
      <w:r>
        <w:rPr>
          <w:rFonts w:hint="eastAsia" w:ascii="Times New Roman" w:hAnsi="Times New Roman" w:eastAsia="方正黑体_GBK"/>
          <w:sz w:val="32"/>
          <w:szCs w:val="32"/>
        </w:rPr>
        <w:t>建邺区和软件谷的软件信息产业联动策略研究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1、调研建邺区和雨花台区软件谷软件信息产业的现状，分析两区产业间的内在联系，发现阻碍协同联动发展的具体问题。</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2、根据提升南京数字产业发展能级，打造国家级先进制造业集群的需求，从建设产业公共支撑平台、提高土地集约利用水平、提升基础设施建设水平等方面对两区联动发展提出具体建设路径和对策建议。</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5"/>
        <w:rPr>
          <w:rFonts w:ascii="Times New Roman" w:hAnsi="Times New Roman" w:eastAsia="方正黑体_GBK"/>
          <w:sz w:val="32"/>
          <w:szCs w:val="32"/>
        </w:rPr>
      </w:pPr>
      <w:r>
        <w:rPr>
          <w:rFonts w:hint="eastAsia" w:ascii="Times New Roman" w:hAnsi="Times New Roman" w:eastAsia="方正黑体_GBK"/>
          <w:color w:val="111111"/>
          <w:sz w:val="32"/>
          <w:szCs w:val="32"/>
          <w:shd w:val="clear" w:color="auto" w:fill="FFFFFF"/>
        </w:rPr>
        <w:t>十</w:t>
      </w:r>
      <w:r>
        <w:rPr>
          <w:rFonts w:ascii="Times New Roman" w:hAnsi="Times New Roman" w:eastAsia="方正黑体_GBK"/>
          <w:sz w:val="32"/>
          <w:szCs w:val="32"/>
        </w:rPr>
        <w:t>、南京在长三角科创圈建设中的抓手和突破口研究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1、分析长三角科创圈建设现状及成效。</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2、研判南京在长三角科创圈建设中机遇与挑战。</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3、研究南京在长三角科创圈建设中的抓手和突破口。</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4、提出南京在长三角科创圈建设总体思路和对策建议。</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5"/>
        <w:rPr>
          <w:rFonts w:ascii="Times New Roman" w:hAnsi="Times New Roman" w:eastAsia="方正黑体_GBK"/>
          <w:sz w:val="32"/>
          <w:szCs w:val="32"/>
        </w:rPr>
      </w:pPr>
      <w:r>
        <w:rPr>
          <w:rFonts w:hint="eastAsia" w:ascii="Times New Roman" w:hAnsi="Times New Roman" w:eastAsia="方正黑体_GBK"/>
          <w:color w:val="111111"/>
          <w:sz w:val="32"/>
          <w:szCs w:val="32"/>
          <w:shd w:val="clear" w:color="auto" w:fill="FFFFFF"/>
        </w:rPr>
        <w:t>十一</w:t>
      </w:r>
      <w:r>
        <w:rPr>
          <w:rFonts w:ascii="Times New Roman" w:hAnsi="Times New Roman" w:eastAsia="方正黑体_GBK"/>
          <w:color w:val="111111"/>
          <w:sz w:val="32"/>
          <w:szCs w:val="32"/>
          <w:shd w:val="clear" w:color="auto" w:fill="FFFFFF"/>
        </w:rPr>
        <w:t>、</w:t>
      </w:r>
      <w:r>
        <w:rPr>
          <w:rFonts w:hint="eastAsia" w:ascii="Times New Roman" w:hAnsi="Times New Roman" w:eastAsia="方正黑体_GBK"/>
          <w:sz w:val="32"/>
          <w:szCs w:val="32"/>
        </w:rPr>
        <w:t>健全完善南京市应急救灾物资储备体系的研究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1、对标先进城市和城市现代化治理要求。结合新冠肺炎疫情应对能力，对标上海、北京以及国外先进城市等大都市及城市现代化治理能力政策要求，分析经验做法及需求。</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2、分析我市在应急救灾物资储备方面的不足。分析南京对照标杆城市、现代化治理能力的问题差距，研究相关指标体系。</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3、提出对策建议。结合南京实际及特色，提出更高水平提升救灾物资储备应急能力的对策建议。</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十二</w:t>
      </w:r>
      <w:r>
        <w:rPr>
          <w:rFonts w:ascii="Times New Roman" w:hAnsi="Times New Roman" w:eastAsia="方正黑体_GBK"/>
          <w:sz w:val="32"/>
          <w:szCs w:val="32"/>
        </w:rPr>
        <w:t>、</w:t>
      </w:r>
      <w:r>
        <w:rPr>
          <w:rFonts w:hint="eastAsia" w:ascii="Times New Roman" w:hAnsi="Times New Roman" w:eastAsia="方正黑体_GBK"/>
          <w:sz w:val="32"/>
          <w:szCs w:val="32"/>
        </w:rPr>
        <w:t>放大“世界文学之都”效应提升南京文化品牌建设研究</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（一）研究要点</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1、对比国内外先进做法，提炼总结城市文化品牌建设的经验。</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2、南京“世界文学之都”品牌对南京文化建设的效应和影响力研究。</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3、提出发挥“世界文学之都”效应提升南京文化品牌建设的实施路径和对策建议。</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ascii="Times New Roman" w:hAnsi="方正楷体_GBK" w:eastAsia="方正楷体_GBK"/>
          <w:color w:val="111111"/>
          <w:sz w:val="32"/>
          <w:szCs w:val="32"/>
          <w:shd w:val="clear" w:color="auto" w:fill="FFFFFF"/>
        </w:rPr>
        <w:t>（二）经费预算</w:t>
      </w:r>
    </w:p>
    <w:p>
      <w:pPr>
        <w:pStyle w:val="4"/>
        <w:widowControl/>
        <w:spacing w:beforeAutospacing="0" w:afterAutospacing="0" w:line="600" w:lineRule="atLeast"/>
        <w:ind w:firstLine="645"/>
        <w:rPr>
          <w:rFonts w:ascii="Times New Roman" w:hAnsi="Times New Roman" w:eastAsia="方正仿宋_GBK"/>
          <w:sz w:val="32"/>
          <w:szCs w:val="32"/>
        </w:rPr>
      </w:pPr>
      <w:r>
        <w:rPr>
          <w:rFonts w:ascii="Times New Roman" w:hAnsi="Times New Roman" w:eastAsia="方正仿宋_GBK"/>
          <w:sz w:val="32"/>
          <w:szCs w:val="32"/>
        </w:rPr>
        <w:t>不超过10万元，包含可能发生的出差费用及项目评审费。</w:t>
      </w:r>
    </w:p>
    <w:p>
      <w:pPr>
        <w:pStyle w:val="4"/>
        <w:widowControl/>
        <w:spacing w:beforeAutospacing="0" w:afterAutospacing="0" w:line="600" w:lineRule="atLeast"/>
        <w:ind w:firstLine="645"/>
        <w:rPr>
          <w:rFonts w:ascii="Times New Roman" w:hAnsi="方正楷体_GBK" w:eastAsia="方正楷体_GBK"/>
          <w:color w:val="111111"/>
          <w:sz w:val="32"/>
          <w:szCs w:val="32"/>
          <w:shd w:val="clear" w:color="auto" w:fill="FFFFFF"/>
        </w:rPr>
      </w:pPr>
      <w:r>
        <w:rPr>
          <w:rFonts w:hint="eastAsia" w:ascii="Times New Roman" w:hAnsi="方正楷体_GBK" w:eastAsia="方正楷体_GBK"/>
          <w:color w:val="111111"/>
          <w:sz w:val="32"/>
          <w:szCs w:val="32"/>
          <w:shd w:val="clear" w:color="auto" w:fill="FFFFFF"/>
        </w:rPr>
        <w:t>（三）完成时限</w:t>
      </w:r>
    </w:p>
    <w:p>
      <w:pPr>
        <w:pStyle w:val="4"/>
        <w:widowControl/>
        <w:spacing w:beforeAutospacing="0" w:afterAutospacing="0" w:line="600" w:lineRule="atLeast"/>
        <w:ind w:firstLine="645"/>
        <w:rPr>
          <w:rFonts w:ascii="Times New Roman" w:hAnsi="Times New Roman" w:eastAsia="方正仿宋_GBK"/>
          <w:sz w:val="32"/>
          <w:szCs w:val="32"/>
        </w:rPr>
      </w:pPr>
      <w:r>
        <w:rPr>
          <w:rFonts w:hint="eastAsia" w:ascii="Times New Roman" w:hAnsi="Times New Roman" w:eastAsia="方正仿宋_GBK"/>
          <w:sz w:val="32"/>
          <w:szCs w:val="32"/>
        </w:rPr>
        <w:t>2020年10月31日前。</w:t>
      </w:r>
    </w:p>
    <w:p>
      <w:pPr>
        <w:pStyle w:val="4"/>
        <w:widowControl/>
        <w:spacing w:beforeAutospacing="0" w:afterAutospacing="0" w:line="600" w:lineRule="atLeast"/>
        <w:ind w:firstLine="645"/>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185641"/>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251D"/>
    <w:rsid w:val="000154B9"/>
    <w:rsid w:val="00084DF0"/>
    <w:rsid w:val="00090375"/>
    <w:rsid w:val="000B09E5"/>
    <w:rsid w:val="000F6762"/>
    <w:rsid w:val="001622D5"/>
    <w:rsid w:val="002017F5"/>
    <w:rsid w:val="002119EE"/>
    <w:rsid w:val="00291DC7"/>
    <w:rsid w:val="00325141"/>
    <w:rsid w:val="004059CD"/>
    <w:rsid w:val="00477C44"/>
    <w:rsid w:val="00496D99"/>
    <w:rsid w:val="004B7541"/>
    <w:rsid w:val="00561A20"/>
    <w:rsid w:val="005B3566"/>
    <w:rsid w:val="00723B11"/>
    <w:rsid w:val="00734F9E"/>
    <w:rsid w:val="007F5F21"/>
    <w:rsid w:val="00840DE6"/>
    <w:rsid w:val="008F60A3"/>
    <w:rsid w:val="009A3455"/>
    <w:rsid w:val="009D13B0"/>
    <w:rsid w:val="00A003ED"/>
    <w:rsid w:val="00A24CA4"/>
    <w:rsid w:val="00AA70E2"/>
    <w:rsid w:val="00C2251D"/>
    <w:rsid w:val="00CE7D3A"/>
    <w:rsid w:val="00D008AB"/>
    <w:rsid w:val="00DC3BD3"/>
    <w:rsid w:val="00E31837"/>
    <w:rsid w:val="00EC478B"/>
    <w:rsid w:val="00F135A9"/>
    <w:rsid w:val="00F663BD"/>
    <w:rsid w:val="6929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392</Words>
  <Characters>2238</Characters>
  <Lines>18</Lines>
  <Paragraphs>5</Paragraphs>
  <TotalTime>12</TotalTime>
  <ScaleCrop>false</ScaleCrop>
  <LinksUpToDate>false</LinksUpToDate>
  <CharactersWithSpaces>2625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2020-05-06T10:54:00Z</dcterms:created>
  <dc:creator>NTKO</dc:creator>
  <cp:lastModifiedBy>咖啡</cp:lastModifiedBy>
  <cp:lastPrinted>2020-04-16T01:46:00Z</cp:lastPrinted>
  <dcterms:modified xsi:type="dcterms:W3CDTF">2020-05-07T09:58:05Z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