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附件</w:t>
      </w:r>
      <w:r>
        <w:rPr>
          <w:rFonts w:hint="eastAsia" w:ascii="仿宋_GB2312" w:hAnsi="仿宋_GB2312" w:eastAsia="仿宋_GB2312" w:cs="仿宋_GB2312"/>
          <w:i w:val="0"/>
          <w:caps w:val="0"/>
          <w:color w:val="auto"/>
          <w:spacing w:val="0"/>
          <w:sz w:val="32"/>
          <w:szCs w:val="32"/>
          <w:lang w:val="en-US" w:eastAsia="zh-CN"/>
        </w:rPr>
        <w:t>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eastAsia" w:ascii="仿宋_GB2312" w:hAnsi="仿宋_GB2312" w:eastAsia="仿宋_GB2312" w:cs="仿宋_GB2312"/>
          <w:i w:val="0"/>
          <w:caps w:val="0"/>
          <w:color w:val="auto"/>
          <w:spacing w:val="0"/>
          <w:sz w:val="32"/>
          <w:szCs w:val="32"/>
          <w:lang w:val="en-US" w:eastAsia="zh-CN"/>
        </w:rPr>
      </w:pPr>
    </w:p>
    <w:p>
      <w:pPr>
        <w:spacing w:line="600" w:lineRule="exact"/>
        <w:ind w:firstLine="0" w:firstLineChars="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2021年深圳市政府</w:t>
      </w:r>
      <w:r>
        <w:rPr>
          <w:rFonts w:ascii="Times New Roman" w:hAnsi="Times New Roman" w:eastAsia="方正小标宋简体" w:cs="Times New Roman"/>
          <w:sz w:val="44"/>
          <w:szCs w:val="44"/>
        </w:rPr>
        <w:t>重大研究课题</w:t>
      </w:r>
    </w:p>
    <w:p>
      <w:pPr>
        <w:widowControl w:val="0"/>
        <w:spacing w:line="360" w:lineRule="auto"/>
        <w:ind w:firstLine="480" w:firstLineChars="200"/>
        <w:jc w:val="both"/>
        <w:textAlignment w:val="baseline"/>
        <w:rPr>
          <w:rFonts w:ascii="Times New Roman" w:hAnsi="Times New Roman" w:eastAsia="黑体" w:cs="黑体"/>
          <w:kern w:val="2"/>
          <w:sz w:val="24"/>
          <w:szCs w:val="24"/>
          <w:lang w:val="en-US" w:eastAsia="zh-CN" w:bidi="ar-SA"/>
        </w:rPr>
      </w:pPr>
    </w:p>
    <w:p>
      <w:pPr>
        <w:numPr>
          <w:ilvl w:val="0"/>
          <w:numId w:val="1"/>
        </w:numPr>
        <w:spacing w:line="600" w:lineRule="exact"/>
        <w:ind w:firstLine="640" w:firstLineChars="200"/>
        <w:rPr>
          <w:rFonts w:ascii="Times New Roman" w:hAnsi="Times New Roman" w:eastAsia="黑体" w:cs="黑体"/>
          <w:bCs/>
          <w:sz w:val="32"/>
        </w:rPr>
      </w:pPr>
      <w:r>
        <w:rPr>
          <w:rFonts w:hint="eastAsia" w:ascii="Times New Roman" w:hAnsi="Times New Roman" w:eastAsia="黑体" w:cs="黑体"/>
          <w:kern w:val="0"/>
          <w:sz w:val="32"/>
          <w:szCs w:val="32"/>
        </w:rPr>
        <w:t>深圳加强产业链创新链人才链教育链协同研究</w:t>
      </w:r>
    </w:p>
    <w:p>
      <w:pPr>
        <w:spacing w:line="60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研究“</w:t>
      </w:r>
      <w:r>
        <w:rPr>
          <w:rFonts w:ascii="Times New Roman" w:hAnsi="Times New Roman" w:eastAsia="仿宋_GB2312" w:cs="Times New Roman"/>
          <w:bCs/>
          <w:sz w:val="32"/>
        </w:rPr>
        <w:t>四链</w:t>
      </w:r>
      <w:r>
        <w:rPr>
          <w:rFonts w:hint="eastAsia" w:ascii="Times New Roman" w:hAnsi="Times New Roman" w:eastAsia="仿宋_GB2312" w:cs="Times New Roman"/>
          <w:bCs/>
          <w:sz w:val="32"/>
        </w:rPr>
        <w:t>”的相互关系，</w:t>
      </w:r>
      <w:r>
        <w:rPr>
          <w:rFonts w:ascii="Times New Roman" w:hAnsi="Times New Roman" w:eastAsia="仿宋_GB2312" w:cs="Times New Roman"/>
          <w:bCs/>
          <w:sz w:val="32"/>
        </w:rPr>
        <w:t>分析</w:t>
      </w:r>
      <w:r>
        <w:rPr>
          <w:rFonts w:hint="eastAsia" w:ascii="Times New Roman" w:hAnsi="Times New Roman" w:eastAsia="仿宋_GB2312" w:cs="Times New Roman"/>
          <w:bCs/>
          <w:sz w:val="32"/>
        </w:rPr>
        <w:t>深圳“</w:t>
      </w:r>
      <w:r>
        <w:rPr>
          <w:rFonts w:ascii="Times New Roman" w:hAnsi="Times New Roman" w:eastAsia="仿宋_GB2312" w:cs="Times New Roman"/>
          <w:bCs/>
          <w:sz w:val="32"/>
        </w:rPr>
        <w:t>四链</w:t>
      </w:r>
      <w:r>
        <w:rPr>
          <w:rFonts w:hint="eastAsia" w:ascii="Times New Roman" w:hAnsi="Times New Roman" w:eastAsia="仿宋_GB2312" w:cs="Times New Roman"/>
          <w:bCs/>
          <w:sz w:val="32"/>
        </w:rPr>
        <w:t>”</w:t>
      </w:r>
      <w:r>
        <w:rPr>
          <w:rFonts w:ascii="Times New Roman" w:hAnsi="Times New Roman" w:eastAsia="仿宋_GB2312" w:cs="Times New Roman"/>
          <w:bCs/>
          <w:sz w:val="32"/>
        </w:rPr>
        <w:t>协同发展的现状</w:t>
      </w:r>
      <w:r>
        <w:rPr>
          <w:rFonts w:hint="eastAsia" w:ascii="Times New Roman" w:hAnsi="Times New Roman" w:eastAsia="仿宋_GB2312" w:cs="Times New Roman"/>
          <w:bCs/>
          <w:sz w:val="32"/>
        </w:rPr>
        <w:t>、短板</w:t>
      </w:r>
      <w:r>
        <w:rPr>
          <w:rFonts w:ascii="Times New Roman" w:hAnsi="Times New Roman" w:eastAsia="仿宋_GB2312" w:cs="Times New Roman"/>
          <w:bCs/>
          <w:sz w:val="32"/>
        </w:rPr>
        <w:t>和存在问题，按照</w:t>
      </w:r>
      <w:r>
        <w:rPr>
          <w:rFonts w:hint="eastAsia" w:ascii="Times New Roman" w:hAnsi="Times New Roman" w:eastAsia="仿宋_GB2312" w:cs="Times New Roman"/>
          <w:bCs/>
          <w:sz w:val="32"/>
        </w:rPr>
        <w:t>“</w:t>
      </w:r>
      <w:r>
        <w:rPr>
          <w:rFonts w:ascii="Times New Roman" w:hAnsi="Times New Roman" w:eastAsia="仿宋_GB2312" w:cs="Times New Roman"/>
          <w:bCs/>
          <w:sz w:val="32"/>
        </w:rPr>
        <w:t>围绕产业链部署创新链、围绕创新链布局产业链、围绕产业链创新链需求引进培养人才、围绕创新链重塑教育链</w:t>
      </w:r>
      <w:r>
        <w:rPr>
          <w:rFonts w:hint="eastAsia" w:ascii="Times New Roman" w:hAnsi="Times New Roman" w:eastAsia="仿宋_GB2312" w:cs="Times New Roman"/>
          <w:bCs/>
          <w:sz w:val="32"/>
        </w:rPr>
        <w:t>”</w:t>
      </w:r>
      <w:r>
        <w:rPr>
          <w:rFonts w:ascii="Times New Roman" w:hAnsi="Times New Roman" w:eastAsia="仿宋_GB2312" w:cs="Times New Roman"/>
          <w:bCs/>
          <w:sz w:val="32"/>
        </w:rPr>
        <w:t>的思路，</w:t>
      </w:r>
      <w:r>
        <w:rPr>
          <w:rFonts w:hint="eastAsia" w:ascii="Times New Roman" w:hAnsi="Times New Roman" w:eastAsia="仿宋_GB2312" w:cs="Times New Roman"/>
          <w:bCs/>
          <w:sz w:val="32"/>
        </w:rPr>
        <w:t>围绕建设具有全球影响力的科技和产业高地及国家产教融合型城市的战略目标，</w:t>
      </w:r>
      <w:r>
        <w:rPr>
          <w:rFonts w:ascii="Times New Roman" w:hAnsi="Times New Roman" w:eastAsia="仿宋_GB2312" w:cs="Times New Roman"/>
          <w:bCs/>
          <w:sz w:val="32"/>
        </w:rPr>
        <w:t>系统提出</w:t>
      </w:r>
      <w:r>
        <w:rPr>
          <w:rFonts w:hint="eastAsia" w:ascii="Times New Roman" w:hAnsi="Times New Roman" w:eastAsia="仿宋_GB2312" w:cs="Times New Roman"/>
          <w:bCs/>
          <w:sz w:val="32"/>
        </w:rPr>
        <w:t>深圳</w:t>
      </w:r>
      <w:r>
        <w:rPr>
          <w:rFonts w:ascii="Times New Roman" w:hAnsi="Times New Roman" w:eastAsia="仿宋_GB2312" w:cs="Times New Roman"/>
          <w:bCs/>
          <w:sz w:val="32"/>
        </w:rPr>
        <w:t>推动</w:t>
      </w:r>
      <w:r>
        <w:rPr>
          <w:rFonts w:hint="eastAsia" w:ascii="Times New Roman" w:hAnsi="Times New Roman" w:eastAsia="仿宋_GB2312" w:cs="Times New Roman"/>
          <w:bCs/>
          <w:sz w:val="32"/>
        </w:rPr>
        <w:t>“</w:t>
      </w:r>
      <w:r>
        <w:rPr>
          <w:rFonts w:ascii="Times New Roman" w:hAnsi="Times New Roman" w:eastAsia="仿宋_GB2312" w:cs="Times New Roman"/>
          <w:bCs/>
          <w:sz w:val="32"/>
        </w:rPr>
        <w:t>四链</w:t>
      </w:r>
      <w:r>
        <w:rPr>
          <w:rFonts w:hint="eastAsia" w:ascii="Times New Roman" w:hAnsi="Times New Roman" w:eastAsia="仿宋_GB2312" w:cs="Times New Roman"/>
          <w:bCs/>
          <w:sz w:val="32"/>
        </w:rPr>
        <w:t>”</w:t>
      </w:r>
      <w:r>
        <w:rPr>
          <w:rFonts w:ascii="Times New Roman" w:hAnsi="Times New Roman" w:eastAsia="仿宋_GB2312" w:cs="Times New Roman"/>
          <w:bCs/>
          <w:sz w:val="32"/>
        </w:rPr>
        <w:t>有机融合、协同发展的</w:t>
      </w:r>
      <w:r>
        <w:rPr>
          <w:rFonts w:hint="eastAsia" w:ascii="Times New Roman" w:hAnsi="Times New Roman" w:eastAsia="仿宋_GB2312" w:cs="Times New Roman"/>
          <w:bCs/>
          <w:sz w:val="32"/>
        </w:rPr>
        <w:t>政</w:t>
      </w:r>
      <w:r>
        <w:rPr>
          <w:rFonts w:ascii="Times New Roman" w:hAnsi="Times New Roman" w:eastAsia="仿宋_GB2312" w:cs="Times New Roman"/>
          <w:bCs/>
          <w:sz w:val="32"/>
        </w:rPr>
        <w:t>策建议。</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深圳打造数字经济创新发展试验区研究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研究数据作为新型生产要素的内涵、特征及界定，比较分析我市与纽约、波士顿、伦敦、新加坡、北京、上海、杭州等国内外数字经济强市的优势和差距，借鉴国内外推动数字经济创新发展的先进经验，围绕数字产业化、产业数字化、数字基建、数字算力、数据开放、数据标准、数据交易、数据跨境流动、应用场景、数据安全、数据法规制度等方面，提出深圳打造数字经济创新发展试验区的实施路径、主要任务和政策建议。</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 xml:space="preserve">深圳率先实现碳达峰、碳中和路径与配套政策研究 </w:t>
      </w:r>
    </w:p>
    <w:p>
      <w:pPr>
        <w:spacing w:line="600" w:lineRule="exact"/>
        <w:ind w:firstLine="640" w:firstLineChars="200"/>
        <w:rPr>
          <w:rFonts w:ascii="Times New Roman" w:hAnsi="Times New Roman" w:eastAsia="仿宋_GB2312" w:cs="Times New Roman"/>
          <w:b/>
          <w:bCs/>
          <w:sz w:val="32"/>
        </w:rPr>
      </w:pPr>
      <w:r>
        <w:rPr>
          <w:rFonts w:ascii="Times New Roman" w:hAnsi="Times New Roman" w:eastAsia="仿宋_GB2312" w:cs="Times New Roman"/>
          <w:bCs/>
          <w:sz w:val="32"/>
        </w:rPr>
        <w:t>围绕打造可持续发展先锋战略定位，研究城市产业转型升级、能源结构优化等政策要求，探索深圳碳排放碳吸收基准线和多情景模式下的碳达峰、碳中和路径，提出实现碳达峰、碳中和技术路线图，形成碳达峰、碳中和技术标准体系和成套解决方案，助力深圳率先实现碳达峰</w:t>
      </w:r>
      <w:r>
        <w:rPr>
          <w:rFonts w:hint="eastAsia" w:ascii="Times New Roman" w:hAnsi="Times New Roman" w:eastAsia="仿宋_GB2312" w:cs="Times New Roman"/>
          <w:bCs/>
          <w:sz w:val="32"/>
        </w:rPr>
        <w:t>、</w:t>
      </w:r>
      <w:r>
        <w:rPr>
          <w:rFonts w:ascii="Times New Roman" w:hAnsi="Times New Roman" w:eastAsia="仿宋_GB2312" w:cs="Times New Roman"/>
          <w:bCs/>
          <w:sz w:val="32"/>
        </w:rPr>
        <w:t>碳中和目标，推动经济社会发展全面绿色转型。</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深圳建设具有全球影响力的国际会展之都研究</w:t>
      </w:r>
    </w:p>
    <w:p>
      <w:pPr>
        <w:spacing w:line="600" w:lineRule="exact"/>
        <w:ind w:firstLine="640" w:firstLineChars="200"/>
        <w:rPr>
          <w:rFonts w:ascii="Times New Roman" w:hAnsi="Times New Roman" w:eastAsia="仿宋_GB2312"/>
          <w:sz w:val="36"/>
        </w:rPr>
      </w:pPr>
      <w:r>
        <w:rPr>
          <w:rFonts w:hint="eastAsia" w:ascii="Times New Roman" w:hAnsi="Times New Roman" w:eastAsia="仿宋_GB2312" w:cs="Times New Roman"/>
          <w:sz w:val="32"/>
        </w:rPr>
        <w:t>研究</w:t>
      </w:r>
      <w:r>
        <w:rPr>
          <w:rFonts w:ascii="Times New Roman" w:hAnsi="Times New Roman" w:eastAsia="仿宋_GB2312" w:cs="Times New Roman"/>
          <w:sz w:val="32"/>
        </w:rPr>
        <w:t>梳理深圳会展业发展</w:t>
      </w:r>
      <w:r>
        <w:rPr>
          <w:rFonts w:hint="eastAsia" w:ascii="Times New Roman" w:hAnsi="Times New Roman" w:eastAsia="仿宋_GB2312" w:cs="Times New Roman"/>
          <w:sz w:val="32"/>
        </w:rPr>
        <w:t>历史和</w:t>
      </w:r>
      <w:r>
        <w:rPr>
          <w:rFonts w:ascii="Times New Roman" w:hAnsi="Times New Roman" w:eastAsia="仿宋_GB2312" w:cs="Times New Roman"/>
          <w:sz w:val="32"/>
        </w:rPr>
        <w:t>现状，比较分析深圳与汉诺威、伦敦、米兰、新加坡、香港、</w:t>
      </w:r>
      <w:r>
        <w:rPr>
          <w:rFonts w:hint="eastAsia" w:ascii="Times New Roman" w:hAnsi="Times New Roman" w:eastAsia="仿宋_GB2312" w:cs="Times New Roman"/>
          <w:sz w:val="32"/>
        </w:rPr>
        <w:t>北京、</w:t>
      </w:r>
      <w:r>
        <w:rPr>
          <w:rFonts w:ascii="Times New Roman" w:hAnsi="Times New Roman" w:eastAsia="仿宋_GB2312" w:cs="Times New Roman"/>
          <w:sz w:val="32"/>
        </w:rPr>
        <w:t>上海、广州等国内外会展名城的差距，借鉴国际先进经验，围绕规划布局、功能定位、会展设施、会展新业态、会展服务体系、会展品牌、配套支持政策等方面，提出</w:t>
      </w:r>
      <w:r>
        <w:rPr>
          <w:rFonts w:hint="eastAsia" w:ascii="Times New Roman" w:hAnsi="Times New Roman" w:eastAsia="仿宋_GB2312" w:cs="Times New Roman"/>
          <w:sz w:val="32"/>
        </w:rPr>
        <w:t>深圳</w:t>
      </w:r>
      <w:r>
        <w:rPr>
          <w:rFonts w:ascii="Times New Roman" w:hAnsi="Times New Roman" w:eastAsia="仿宋_GB2312" w:cs="Times New Roman"/>
          <w:sz w:val="32"/>
        </w:rPr>
        <w:t>建设具有全球影响力的国际会展之都的</w:t>
      </w:r>
      <w:r>
        <w:rPr>
          <w:rFonts w:hint="eastAsia" w:ascii="Times New Roman" w:hAnsi="Times New Roman" w:eastAsia="仿宋_GB2312" w:cs="Times New Roman"/>
          <w:sz w:val="32"/>
        </w:rPr>
        <w:t>政策建议</w:t>
      </w:r>
      <w:r>
        <w:rPr>
          <w:rFonts w:ascii="Times New Roman" w:hAnsi="Times New Roman" w:eastAsia="仿宋_GB2312" w:cs="Times New Roman"/>
          <w:sz w:val="32"/>
        </w:rPr>
        <w:t>。</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深圳打造具有全球影响力的国际风投创投之都研究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围绕在新的国际科技竞争格局下打造科技金融深度融合地，对标纽约、硅谷、特拉维夫、伦敦等国际风投创投名城，从PE/VC机构数量、投资项目及金额、孵化项目、专业服务机构、专业人才、税收支持政策、监管机制、退出机制等方面，比较分析深圳风投创投发展的优势、短板和不足，总结深圳天使投资母基金运作经验，借鉴国际风投创投名城先进做法，聚焦创新</w:t>
      </w:r>
      <w:r>
        <w:rPr>
          <w:rFonts w:hint="eastAsia" w:ascii="Times New Roman" w:hAnsi="Times New Roman" w:eastAsia="仿宋_GB2312" w:cs="Times New Roman"/>
          <w:sz w:val="32"/>
        </w:rPr>
        <w:t>“</w:t>
      </w:r>
      <w:r>
        <w:rPr>
          <w:rFonts w:ascii="Times New Roman" w:hAnsi="Times New Roman" w:eastAsia="仿宋_GB2312" w:cs="Times New Roman"/>
          <w:sz w:val="32"/>
        </w:rPr>
        <w:t>募、投、管、退、通、服</w:t>
      </w:r>
      <w:r>
        <w:rPr>
          <w:rFonts w:hint="eastAsia" w:ascii="Times New Roman" w:hAnsi="Times New Roman" w:eastAsia="仿宋_GB2312" w:cs="Times New Roman"/>
          <w:sz w:val="32"/>
        </w:rPr>
        <w:t>”</w:t>
      </w:r>
      <w:r>
        <w:rPr>
          <w:rFonts w:ascii="Times New Roman" w:hAnsi="Times New Roman" w:eastAsia="仿宋_GB2312" w:cs="Times New Roman"/>
          <w:sz w:val="32"/>
        </w:rPr>
        <w:t>机制、促进风投创投机构集聚发展的配套政策等方面，提出</w:t>
      </w:r>
      <w:r>
        <w:rPr>
          <w:rFonts w:hint="eastAsia" w:ascii="Times New Roman" w:hAnsi="Times New Roman" w:eastAsia="仿宋_GB2312" w:cs="Times New Roman"/>
          <w:sz w:val="32"/>
        </w:rPr>
        <w:t>深圳</w:t>
      </w:r>
      <w:r>
        <w:rPr>
          <w:rFonts w:ascii="Times New Roman" w:hAnsi="Times New Roman" w:eastAsia="仿宋_GB2312" w:cs="Times New Roman"/>
          <w:sz w:val="32"/>
        </w:rPr>
        <w:t>打造具有全球影响力的国际风投创投之都的</w:t>
      </w:r>
      <w:r>
        <w:rPr>
          <w:rFonts w:hint="eastAsia" w:ascii="Times New Roman" w:hAnsi="Times New Roman" w:eastAsia="仿宋_GB2312" w:cs="Times New Roman"/>
          <w:sz w:val="32"/>
        </w:rPr>
        <w:t>政策建议</w:t>
      </w:r>
      <w:r>
        <w:rPr>
          <w:rFonts w:ascii="Times New Roman" w:hAnsi="Times New Roman" w:eastAsia="仿宋_GB2312" w:cs="Times New Roman"/>
          <w:sz w:val="32"/>
        </w:rPr>
        <w:t>。</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深圳口岸综合改革研究</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梳理总结改革开放以来深圳口岸的发展历程</w:t>
      </w:r>
      <w:r>
        <w:rPr>
          <w:rFonts w:hint="eastAsia" w:ascii="Times New Roman" w:hAnsi="Times New Roman" w:eastAsia="仿宋_GB2312" w:cs="Times New Roman"/>
          <w:bCs/>
          <w:sz w:val="32"/>
        </w:rPr>
        <w:t>和</w:t>
      </w:r>
      <w:r>
        <w:rPr>
          <w:rFonts w:ascii="Times New Roman" w:hAnsi="Times New Roman" w:eastAsia="仿宋_GB2312" w:cs="Times New Roman"/>
          <w:bCs/>
          <w:sz w:val="32"/>
        </w:rPr>
        <w:t>主要特点，深入分析长期以来影响和制约深圳口岸发展能级提升的痛点、堵点、难点问题，借鉴国内外一流口岸建设发展的有益经验做法，立足深圳综合授权改革试点政策优势，研究新时代深圳口岸的战略角色与功能定位，聚焦口岸法律法规体系建设、口岸管理体制机制、口岸功能布局、口岸通关模式、打造深港口岸经济带等，提出</w:t>
      </w:r>
      <w:r>
        <w:rPr>
          <w:rFonts w:hint="eastAsia" w:ascii="Times New Roman" w:hAnsi="Times New Roman" w:eastAsia="仿宋_GB2312" w:cs="Times New Roman"/>
          <w:bCs/>
          <w:sz w:val="32"/>
        </w:rPr>
        <w:t>深圳</w:t>
      </w:r>
      <w:r>
        <w:rPr>
          <w:rFonts w:ascii="Times New Roman" w:hAnsi="Times New Roman" w:eastAsia="仿宋_GB2312" w:cs="Times New Roman"/>
          <w:bCs/>
          <w:sz w:val="32"/>
        </w:rPr>
        <w:t>口岸综合改革的思路举措。</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推进深港澳市场一体化研究</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总结借鉴全球跨区域市场一体化发展与治理的先进经验，全面梳理阻碍粤港澳大湾区要素自由流动的体制机制堵点，通过规则对接、机制创新、政策完善、法律衔接等方式，打破现有体制机制壁垒，</w:t>
      </w:r>
      <w:r>
        <w:rPr>
          <w:rFonts w:hint="eastAsia" w:ascii="Times New Roman" w:hAnsi="Times New Roman" w:eastAsia="仿宋_GB2312" w:cs="Times New Roman"/>
          <w:bCs/>
          <w:sz w:val="32"/>
        </w:rPr>
        <w:t>提出</w:t>
      </w:r>
      <w:r>
        <w:rPr>
          <w:rFonts w:ascii="Times New Roman" w:hAnsi="Times New Roman" w:eastAsia="仿宋_GB2312" w:cs="Times New Roman"/>
          <w:bCs/>
          <w:sz w:val="32"/>
        </w:rPr>
        <w:t>推动深港澳基础设施互联互通、要素高效便捷流动、规则机制衔接</w:t>
      </w:r>
      <w:r>
        <w:rPr>
          <w:rFonts w:hint="eastAsia" w:ascii="Times New Roman" w:hAnsi="Times New Roman" w:eastAsia="仿宋_GB2312" w:cs="Times New Roman"/>
          <w:bCs/>
          <w:sz w:val="32"/>
        </w:rPr>
        <w:t>、</w:t>
      </w:r>
      <w:r>
        <w:rPr>
          <w:rFonts w:ascii="Times New Roman" w:hAnsi="Times New Roman" w:eastAsia="仿宋_GB2312" w:cs="Times New Roman"/>
          <w:bCs/>
          <w:sz w:val="32"/>
        </w:rPr>
        <w:t>充分释放大湾区发展潜能的政策建议及规划设想。</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深圳</w:t>
      </w:r>
      <w:r>
        <w:rPr>
          <w:rFonts w:ascii="Times New Roman" w:hAnsi="Times New Roman" w:eastAsia="黑体" w:cs="Times New Roman"/>
          <w:kern w:val="0"/>
          <w:sz w:val="32"/>
          <w:szCs w:val="32"/>
        </w:rPr>
        <w:t>打造</w:t>
      </w:r>
      <w:r>
        <w:rPr>
          <w:rFonts w:hint="eastAsia" w:ascii="Times New Roman" w:hAnsi="Times New Roman" w:eastAsia="黑体" w:cs="Times New Roman"/>
          <w:kern w:val="0"/>
          <w:sz w:val="32"/>
          <w:szCs w:val="32"/>
        </w:rPr>
        <w:t>“</w:t>
      </w:r>
      <w:r>
        <w:rPr>
          <w:rFonts w:ascii="Times New Roman" w:hAnsi="Times New Roman" w:eastAsia="黑体" w:cs="Times New Roman"/>
          <w:kern w:val="0"/>
          <w:sz w:val="32"/>
          <w:szCs w:val="32"/>
        </w:rPr>
        <w:t>国际自由创新试验区</w:t>
      </w:r>
      <w:r>
        <w:rPr>
          <w:rFonts w:hint="eastAsia" w:ascii="Times New Roman" w:hAnsi="Times New Roman" w:eastAsia="黑体" w:cs="Times New Roman"/>
          <w:kern w:val="0"/>
          <w:sz w:val="32"/>
          <w:szCs w:val="32"/>
        </w:rPr>
        <w:t>”</w:t>
      </w:r>
      <w:r>
        <w:rPr>
          <w:rFonts w:ascii="Times New Roman" w:hAnsi="Times New Roman" w:eastAsia="黑体" w:cs="Times New Roman"/>
          <w:kern w:val="0"/>
          <w:sz w:val="32"/>
          <w:szCs w:val="32"/>
        </w:rPr>
        <w:t>研究</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sz w:val="32"/>
        </w:rPr>
        <w:t>围绕</w:t>
      </w:r>
      <w:r>
        <w:rPr>
          <w:rFonts w:hint="eastAsia" w:ascii="Times New Roman" w:hAnsi="Times New Roman" w:eastAsia="仿宋_GB2312" w:cs="Times New Roman"/>
          <w:sz w:val="32"/>
        </w:rPr>
        <w:t>深圳</w:t>
      </w:r>
      <w:r>
        <w:rPr>
          <w:rFonts w:ascii="Times New Roman" w:hAnsi="Times New Roman" w:eastAsia="仿宋_GB2312" w:cs="Times New Roman"/>
          <w:sz w:val="32"/>
        </w:rPr>
        <w:t>探索打造要素流动最便利、创新网络最开放、科研合作最活跃、创新机制最灵活的自由创新试验区，聚焦创新金融支持、税收体系、管理体制和监管模式等，研究在集聚全球高端创新资源、便利创新要素跨境流动、塑造开放创新文化、深化国际科技交流合作、促进国际科技成果转化等方面开展政策试点，构建全球最具竞争力的创新政策和全球最优的创新环境，</w:t>
      </w:r>
      <w:r>
        <w:rPr>
          <w:rFonts w:ascii="Times New Roman" w:hAnsi="Times New Roman" w:eastAsia="仿宋_GB2312" w:cs="Times New Roman"/>
          <w:bCs/>
          <w:sz w:val="32"/>
        </w:rPr>
        <w:t>助力深圳建设具有全球影响力的科技和产业创新高地。</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深圳加快新型文化产业发展研究</w:t>
      </w:r>
    </w:p>
    <w:p>
      <w:pPr>
        <w:spacing w:line="600" w:lineRule="exact"/>
        <w:ind w:firstLine="640" w:firstLineChars="200"/>
        <w:rPr>
          <w:rFonts w:ascii="Times New Roman" w:hAnsi="Times New Roman" w:eastAsia="仿宋_GB2312" w:cs="Times New Roman"/>
          <w:b/>
          <w:bCs/>
          <w:sz w:val="32"/>
        </w:rPr>
      </w:pPr>
      <w:r>
        <w:rPr>
          <w:rFonts w:ascii="Times New Roman" w:hAnsi="Times New Roman" w:eastAsia="仿宋_GB2312" w:cs="Times New Roman"/>
          <w:sz w:val="32"/>
        </w:rPr>
        <w:t>系统分析深圳新型文化产业发展</w:t>
      </w:r>
      <w:r>
        <w:rPr>
          <w:rFonts w:hint="eastAsia" w:ascii="Times New Roman" w:hAnsi="Times New Roman" w:eastAsia="仿宋_GB2312" w:cs="Times New Roman"/>
          <w:sz w:val="32"/>
        </w:rPr>
        <w:t>历史和</w:t>
      </w:r>
      <w:r>
        <w:rPr>
          <w:rFonts w:ascii="Times New Roman" w:hAnsi="Times New Roman" w:eastAsia="仿宋_GB2312" w:cs="Times New Roman"/>
          <w:sz w:val="32"/>
        </w:rPr>
        <w:t>现状，梳理国内外文化名城在数字文化、创意文化、影视制作、文化旅游、动漫游戏、演艺传媒等新型文化产业发展的路径和经验，围绕建设新型文化产业基地、创新新型文化产业资本融合机制、提升新型文化产业发展环境、</w:t>
      </w:r>
      <w:r>
        <w:rPr>
          <w:rFonts w:hint="eastAsia" w:ascii="Times New Roman" w:hAnsi="Times New Roman" w:eastAsia="仿宋_GB2312" w:cs="Times New Roman"/>
          <w:sz w:val="32"/>
        </w:rPr>
        <w:t>推动“</w:t>
      </w:r>
      <w:r>
        <w:rPr>
          <w:rFonts w:ascii="Times New Roman" w:hAnsi="Times New Roman" w:eastAsia="仿宋_GB2312" w:cs="Times New Roman"/>
          <w:sz w:val="32"/>
        </w:rPr>
        <w:t>文化+数字、科技、创意、旅游</w:t>
      </w:r>
      <w:r>
        <w:rPr>
          <w:rFonts w:hint="eastAsia" w:ascii="Times New Roman" w:hAnsi="Times New Roman" w:eastAsia="仿宋_GB2312" w:cs="Times New Roman"/>
          <w:sz w:val="32"/>
        </w:rPr>
        <w:t>”</w:t>
      </w:r>
      <w:r>
        <w:rPr>
          <w:rFonts w:ascii="Times New Roman" w:hAnsi="Times New Roman" w:eastAsia="仿宋_GB2312" w:cs="Times New Roman"/>
          <w:sz w:val="32"/>
        </w:rPr>
        <w:t>等方面开展研究，为深圳加快新型文化</w:t>
      </w:r>
      <w:r>
        <w:rPr>
          <w:rFonts w:hint="eastAsia" w:ascii="Times New Roman" w:hAnsi="Times New Roman" w:eastAsia="仿宋_GB2312" w:cs="Times New Roman"/>
          <w:sz w:val="32"/>
        </w:rPr>
        <w:t>产业</w:t>
      </w:r>
      <w:r>
        <w:rPr>
          <w:rFonts w:ascii="Times New Roman" w:hAnsi="Times New Roman" w:eastAsia="仿宋_GB2312" w:cs="Times New Roman"/>
          <w:sz w:val="32"/>
        </w:rPr>
        <w:t>发展提供政策建议。</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新形势下深圳加强国际传播研究</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分析新形势下国际传播的现状、规律及发展趋势，梳理全球优秀传播典型案例，研究深圳向国际社会讲述</w:t>
      </w:r>
      <w:r>
        <w:rPr>
          <w:rFonts w:hint="eastAsia" w:ascii="Times New Roman" w:hAnsi="Times New Roman" w:eastAsia="仿宋_GB2312" w:cs="Times New Roman"/>
          <w:bCs/>
          <w:sz w:val="32"/>
        </w:rPr>
        <w:t>“</w:t>
      </w:r>
      <w:r>
        <w:rPr>
          <w:rFonts w:ascii="Times New Roman" w:hAnsi="Times New Roman" w:eastAsia="仿宋_GB2312" w:cs="Times New Roman"/>
          <w:bCs/>
          <w:sz w:val="32"/>
        </w:rPr>
        <w:t>春天的故事</w:t>
      </w:r>
      <w:r>
        <w:rPr>
          <w:rFonts w:hint="eastAsia" w:ascii="Times New Roman" w:hAnsi="Times New Roman" w:eastAsia="仿宋_GB2312" w:cs="Times New Roman"/>
          <w:bCs/>
          <w:sz w:val="32"/>
        </w:rPr>
        <w:t>”</w:t>
      </w:r>
      <w:r>
        <w:rPr>
          <w:rFonts w:ascii="Times New Roman" w:hAnsi="Times New Roman" w:eastAsia="仿宋_GB2312" w:cs="Times New Roman"/>
          <w:bCs/>
          <w:sz w:val="32"/>
        </w:rPr>
        <w:t>、传播中国思想和中国精神的机制、模式、途径等，提出深圳加强国际传播能力、提升国际城市影响力的政策建议。</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深圳建设国际化医疗中心城市研究</w:t>
      </w:r>
    </w:p>
    <w:p>
      <w:pPr>
        <w:spacing w:line="60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重点围绕公立医院高质量发展、医疗服务跨境衔接、国际医学科技创新合作、医疗卫生事业与生命健康产业协同发展等方面开展研究，对标国际一流，分析短板和优势，提出推进深圳卫生健康事业高质量发展、提升医疗卫生服务国际化水平的战略目标、发展路径和政策建议。</w:t>
      </w:r>
    </w:p>
    <w:p>
      <w:pPr>
        <w:numPr>
          <w:ilvl w:val="0"/>
          <w:numId w:val="1"/>
        </w:numPr>
        <w:spacing w:line="600" w:lineRule="exact"/>
        <w:ind w:firstLine="640" w:firstLineChars="200"/>
        <w:rPr>
          <w:rFonts w:ascii="Times New Roman" w:hAnsi="Times New Roman" w:eastAsia="黑体" w:cs="黑体"/>
          <w:kern w:val="0"/>
          <w:sz w:val="32"/>
          <w:szCs w:val="32"/>
        </w:rPr>
      </w:pPr>
      <w:r>
        <w:rPr>
          <w:rFonts w:hint="eastAsia" w:ascii="Times New Roman" w:hAnsi="Times New Roman" w:eastAsia="黑体" w:cs="黑体"/>
          <w:kern w:val="0"/>
          <w:sz w:val="32"/>
          <w:szCs w:val="32"/>
        </w:rPr>
        <w:t>深圳建设枢纽型城市研究</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围绕深圳加快打造国际化、综合性、高能级枢纽型城市的战略目标，分析当前深圳在全球交通、物流、科技、产业、资本、人才、信息、数据等发挥枢纽作用的不足之处，借鉴纽约、伦敦、东京、香港、北京、上海等国内外一流枢纽型城市先进经验，研究深圳打造具有世界影响力的集综合交通物流枢纽、科技和产业创新中心、要素资源交易中心、国际人文交流中心等多种功能于一体的高能级核心枢纽城市的路径举措，提出深圳建设立足大湾区、辐射亚太、面向全球的综合性枢纽型城市的对策建议。</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探索关键核心技术攻关新型举国体制的深圳路径研究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围绕加快实现高水平科技自立自强，研究当前全球科技竞争和大国博弈加剧背景下新型举国体制的内涵、特征和组织形式，分析与传统举国体制的差异以及深圳当前科研攻关体制存在的不足，借鉴美国、日本、以色列等国家近年来利用举国体制突破关键核心技术的经验做法，聚焦电子信息、生物医药、智能制造等关键领域，突出</w:t>
      </w:r>
      <w:r>
        <w:rPr>
          <w:rFonts w:hint="eastAsia" w:ascii="Times New Roman" w:hAnsi="Times New Roman" w:eastAsia="仿宋_GB2312" w:cs="Times New Roman"/>
          <w:sz w:val="32"/>
        </w:rPr>
        <w:t>“</w:t>
      </w:r>
      <w:r>
        <w:rPr>
          <w:rFonts w:ascii="Times New Roman" w:hAnsi="Times New Roman" w:eastAsia="仿宋_GB2312" w:cs="Times New Roman"/>
          <w:sz w:val="32"/>
        </w:rPr>
        <w:t>企业主体、市场导向、产学研结合</w:t>
      </w:r>
      <w:r>
        <w:rPr>
          <w:rFonts w:hint="eastAsia" w:ascii="Times New Roman" w:hAnsi="Times New Roman" w:eastAsia="仿宋_GB2312" w:cs="Times New Roman"/>
          <w:sz w:val="32"/>
        </w:rPr>
        <w:t>”</w:t>
      </w:r>
      <w:r>
        <w:rPr>
          <w:rFonts w:ascii="Times New Roman" w:hAnsi="Times New Roman" w:eastAsia="仿宋_GB2312" w:cs="Times New Roman"/>
          <w:sz w:val="32"/>
        </w:rPr>
        <w:t>及</w:t>
      </w:r>
      <w:r>
        <w:rPr>
          <w:rFonts w:hint="eastAsia" w:ascii="Times New Roman" w:hAnsi="Times New Roman" w:eastAsia="仿宋_GB2312" w:cs="Times New Roman"/>
          <w:sz w:val="32"/>
        </w:rPr>
        <w:t>“</w:t>
      </w:r>
      <w:r>
        <w:rPr>
          <w:rFonts w:ascii="Times New Roman" w:hAnsi="Times New Roman" w:eastAsia="仿宋_GB2312" w:cs="Times New Roman"/>
          <w:sz w:val="32"/>
        </w:rPr>
        <w:t>企业出题、政府立题、科技破题</w:t>
      </w:r>
      <w:r>
        <w:rPr>
          <w:rFonts w:hint="eastAsia" w:ascii="Times New Roman" w:hAnsi="Times New Roman" w:eastAsia="仿宋_GB2312" w:cs="Times New Roman"/>
          <w:sz w:val="32"/>
        </w:rPr>
        <w:t>”</w:t>
      </w:r>
      <w:r>
        <w:rPr>
          <w:rFonts w:ascii="Times New Roman" w:hAnsi="Times New Roman" w:eastAsia="仿宋_GB2312" w:cs="Times New Roman"/>
          <w:sz w:val="32"/>
        </w:rPr>
        <w:t>，探索构建央地协同的关键核心技术新型举国体制的深圳路径和</w:t>
      </w:r>
      <w:r>
        <w:rPr>
          <w:rFonts w:hint="eastAsia" w:ascii="Times New Roman" w:hAnsi="Times New Roman" w:eastAsia="仿宋_GB2312" w:cs="Times New Roman"/>
          <w:sz w:val="32"/>
        </w:rPr>
        <w:t>政策建议</w:t>
      </w:r>
      <w:r>
        <w:rPr>
          <w:rFonts w:ascii="Times New Roman" w:hAnsi="Times New Roman" w:eastAsia="仿宋_GB2312" w:cs="Times New Roman"/>
          <w:sz w:val="32"/>
        </w:rPr>
        <w:t>。</w:t>
      </w:r>
    </w:p>
    <w:p>
      <w:pPr>
        <w:numPr>
          <w:ilvl w:val="0"/>
          <w:numId w:val="1"/>
        </w:numPr>
        <w:spacing w:line="600" w:lineRule="exact"/>
        <w:ind w:firstLine="640" w:firstLineChars="0"/>
        <w:rPr>
          <w:rFonts w:ascii="Times New Roman" w:hAnsi="Times New Roman" w:eastAsia="黑体" w:cs="Times New Roman"/>
          <w:kern w:val="0"/>
          <w:sz w:val="32"/>
          <w:szCs w:val="32"/>
        </w:rPr>
      </w:pPr>
      <w:r>
        <w:rPr>
          <w:rFonts w:ascii="Times New Roman" w:hAnsi="Times New Roman" w:eastAsia="黑体" w:cs="Times New Roman"/>
          <w:kern w:val="0"/>
          <w:sz w:val="32"/>
          <w:szCs w:val="32"/>
        </w:rPr>
        <w:t>深圳建设全球金融科技中心研究</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bCs/>
          <w:sz w:val="32"/>
        </w:rPr>
        <w:t>分析研判全球金融科技发展现状及趋势，比较研究深圳与国内外主要金融科技城市的优势与差距，借鉴先进城市的经验做法，从构建国际一流的金融科技生态圈、加大金融科技新技术新产品研发与示范应用、持续优化科技金融服务体系、加强深港穗金融科技合作、提升金融科技风险管理水平、创新金融科技监管模式等方面，提出深圳建设全球金融科技中心的基本思路和对策举措</w:t>
      </w:r>
      <w:r>
        <w:rPr>
          <w:rFonts w:ascii="Times New Roman" w:hAnsi="Times New Roman" w:eastAsia="仿宋_GB2312" w:cs="Times New Roman"/>
          <w:sz w:val="32"/>
        </w:rPr>
        <w:t>。</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sz w:val="32"/>
          <w:szCs w:val="32"/>
        </w:rPr>
        <w:t>深圳打造国际化开放式创新型高等教育体系研究</w:t>
      </w:r>
    </w:p>
    <w:p>
      <w:pPr>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分析深圳高等教育服务城市科技和产业创新方面存在的短板和不足，借鉴美欧日和港澳台等发达国家和地区高等教育发展的成功经验，围绕战略性新兴产业和未来产业部署教育链，推进科教融合、产教融合、高等教育和城市发展融合，提升高等教育培养创新人才能力，促进形成</w:t>
      </w:r>
      <w:r>
        <w:rPr>
          <w:rFonts w:hint="eastAsia" w:ascii="Times New Roman" w:hAnsi="Times New Roman" w:eastAsia="仿宋_GB2312" w:cs="Times New Roman"/>
          <w:bCs/>
          <w:sz w:val="32"/>
        </w:rPr>
        <w:t>“</w:t>
      </w:r>
      <w:r>
        <w:rPr>
          <w:rFonts w:ascii="Times New Roman" w:hAnsi="Times New Roman" w:eastAsia="仿宋_GB2312" w:cs="Times New Roman"/>
          <w:bCs/>
          <w:sz w:val="32"/>
        </w:rPr>
        <w:t>产业+创新+人才+教育</w:t>
      </w:r>
      <w:r>
        <w:rPr>
          <w:rFonts w:hint="eastAsia" w:ascii="Times New Roman" w:hAnsi="Times New Roman" w:eastAsia="仿宋_GB2312" w:cs="Times New Roman"/>
          <w:bCs/>
          <w:sz w:val="32"/>
        </w:rPr>
        <w:t>”</w:t>
      </w:r>
      <w:r>
        <w:rPr>
          <w:rFonts w:ascii="Times New Roman" w:hAnsi="Times New Roman" w:eastAsia="仿宋_GB2312" w:cs="Times New Roman"/>
          <w:bCs/>
          <w:sz w:val="32"/>
        </w:rPr>
        <w:t>相互贯通、有机衔接、环环相扣的新融合体系的制度设计</w:t>
      </w:r>
      <w:bookmarkStart w:id="0" w:name="_GoBack"/>
      <w:bookmarkEnd w:id="0"/>
      <w:r>
        <w:rPr>
          <w:rFonts w:ascii="Times New Roman" w:hAnsi="Times New Roman" w:eastAsia="仿宋_GB2312" w:cs="Times New Roman"/>
          <w:bCs/>
          <w:sz w:val="32"/>
        </w:rPr>
        <w:t>，为深圳打造国际化开放式创新型高等教育体系、提升高等教育服务</w:t>
      </w:r>
      <w:r>
        <w:rPr>
          <w:rFonts w:hint="eastAsia" w:ascii="Times New Roman" w:hAnsi="Times New Roman" w:eastAsia="仿宋_GB2312" w:cs="Times New Roman"/>
          <w:bCs/>
          <w:sz w:val="32"/>
        </w:rPr>
        <w:t>“</w:t>
      </w:r>
      <w:r>
        <w:rPr>
          <w:rFonts w:ascii="Times New Roman" w:hAnsi="Times New Roman" w:eastAsia="仿宋_GB2312" w:cs="Times New Roman"/>
          <w:bCs/>
          <w:sz w:val="32"/>
        </w:rPr>
        <w:t>双区</w:t>
      </w:r>
      <w:r>
        <w:rPr>
          <w:rFonts w:hint="eastAsia" w:ascii="Times New Roman" w:hAnsi="Times New Roman" w:eastAsia="仿宋_GB2312" w:cs="Times New Roman"/>
          <w:bCs/>
          <w:sz w:val="32"/>
        </w:rPr>
        <w:t>”</w:t>
      </w:r>
      <w:r>
        <w:rPr>
          <w:rFonts w:ascii="Times New Roman" w:hAnsi="Times New Roman" w:eastAsia="仿宋_GB2312" w:cs="Times New Roman"/>
          <w:bCs/>
          <w:sz w:val="32"/>
        </w:rPr>
        <w:t>建设的能力提供切实可行的政策建议。</w:t>
      </w:r>
    </w:p>
    <w:p>
      <w:pPr>
        <w:numPr>
          <w:ilvl w:val="0"/>
          <w:numId w:val="1"/>
        </w:numPr>
        <w:spacing w:line="60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新型建筑工业化带动建筑业转型升级的路径研究</w:t>
      </w:r>
    </w:p>
    <w:p>
      <w:pPr>
        <w:spacing w:line="600" w:lineRule="exact"/>
        <w:ind w:firstLine="640" w:firstLineChars="200"/>
      </w:pPr>
      <w:r>
        <w:rPr>
          <w:rFonts w:hint="eastAsia" w:ascii="Times New Roman" w:hAnsi="Times New Roman" w:eastAsia="仿宋_GB2312" w:cs="Times New Roman"/>
          <w:sz w:val="32"/>
        </w:rPr>
        <w:t>围绕研发、设计、生产、施工装配、设备、人才、运营等整个建筑产业链，研究实现建筑产品节能、环保、全生命周期价值最大化的可持续发展的新型建筑生产方法。聚焦深化投资领域“放管服”改革，提升工程质量和安全水平，从系统化集成设计、构件部件生产、精益化施工、信息技术融合、建筑信息模型（BIM）推广、创新组织管理、强化科技支撑、专业人才培育、新型建筑工业化项目评价、政策扶持等方面提出新型建筑工业化的具体实施路径，推动深圳城市建筑工业化、数字化、智能化升级。</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F01600"/>
    <w:multiLevelType w:val="singleLevel"/>
    <w:tmpl w:val="7BF016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011B"/>
    <w:rsid w:val="18AC22C1"/>
    <w:rsid w:val="193B67EA"/>
    <w:rsid w:val="2F3D011B"/>
    <w:rsid w:val="30D854F1"/>
    <w:rsid w:val="351166AB"/>
    <w:rsid w:val="4745776D"/>
    <w:rsid w:val="52C0233A"/>
    <w:rsid w:val="53A8550C"/>
    <w:rsid w:val="557E27DC"/>
    <w:rsid w:val="5CE00E2F"/>
    <w:rsid w:val="630410D6"/>
    <w:rsid w:val="6B513477"/>
    <w:rsid w:val="7F814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left"/>
    </w:pPr>
    <w:rPr>
      <w:rFonts w:ascii="楷体_GB2312" w:eastAsia="楷体_GB231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正文首行缩进 21"/>
    <w:basedOn w:val="9"/>
    <w:qFormat/>
    <w:uiPriority w:val="0"/>
    <w:pPr>
      <w:spacing w:line="360" w:lineRule="auto"/>
    </w:pPr>
    <w:rPr>
      <w:rFonts w:eastAsia="宋体"/>
      <w:sz w:val="24"/>
    </w:rPr>
  </w:style>
  <w:style w:type="paragraph" w:customStyle="1" w:styleId="9">
    <w:name w:val="正文文本缩进1"/>
    <w:basedOn w:val="1"/>
    <w:qFormat/>
    <w:uiPriority w:val="0"/>
    <w:pPr>
      <w:spacing w:line="150" w:lineRule="atLeast"/>
      <w:ind w:firstLine="420"/>
      <w:textAlignment w:val="baseline"/>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2019-04-09T07:28:00Z</dcterms:created>
  <dc:creator>姚瑶</dc:creator>
  <cp:lastModifiedBy>陈韬凡</cp:lastModifiedBy>
  <cp:lastPrinted>2021-07-21T10:02:00Z</cp:lastPrinted>
  <dcterms:modified xsi:type="dcterms:W3CDTF">2021-07-21T10:18:51Z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432A8F7774854D98980F017978416239</vt:lpwstr>
  </property>
</Properties>
</file>