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900" w:type="dxa"/>
        <w:tblCellSpacing w:w="0" w:type="dxa"/>
        <w:tblInd w:w="0" w:type="dxa"/>
        <w:shd w:val="clear" w:color="auto" w:fill="FFFFFF"/>
        <w:tblLayout w:type="fixed"/>
        <w:tblCellMar>
          <w:top w:w="0" w:type="dxa"/>
          <w:left w:w="0" w:type="dxa"/>
          <w:bottom w:w="0" w:type="dxa"/>
          <w:right w:w="0" w:type="dxa"/>
        </w:tblCellMar>
      </w:tblPr>
      <w:tblGrid>
        <w:gridCol w:w="9900"/>
      </w:tblGrid>
      <w:tr>
        <w:tblPrEx>
          <w:shd w:val="clear" w:color="auto" w:fill="FFFFFF"/>
          <w:tblLayout w:type="fixed"/>
          <w:tblCellMar>
            <w:top w:w="0" w:type="dxa"/>
            <w:left w:w="0" w:type="dxa"/>
            <w:bottom w:w="0" w:type="dxa"/>
            <w:right w:w="0" w:type="dxa"/>
          </w:tblCellMar>
        </w:tblPrEx>
        <w:trPr>
          <w:trHeight w:val="825" w:hRule="atLeast"/>
          <w:tblCellSpacing w:w="0" w:type="dxa"/>
        </w:trPr>
        <w:tc>
          <w:tcPr>
            <w:tcW w:w="9900" w:type="dxa"/>
            <w:shd w:val="clear" w:color="auto" w:fill="FFFFFF"/>
            <w:vAlign w:val="center"/>
          </w:tcPr>
          <w:p>
            <w:pPr>
              <w:keepNext w:val="0"/>
              <w:keepLines w:val="0"/>
              <w:widowControl/>
              <w:suppressLineNumbers w:val="0"/>
              <w:ind w:left="0" w:firstLine="0"/>
              <w:jc w:val="center"/>
              <w:rPr>
                <w:rFonts w:ascii="微软雅黑" w:hAnsi="微软雅黑" w:eastAsia="微软雅黑" w:cs="微软雅黑"/>
                <w:b/>
                <w:caps w:val="0"/>
                <w:color w:val="FF0000"/>
                <w:spacing w:val="0"/>
                <w:sz w:val="44"/>
                <w:szCs w:val="44"/>
              </w:rPr>
            </w:pPr>
            <w:r>
              <w:rPr>
                <w:rFonts w:hint="eastAsia" w:ascii="微软雅黑" w:hAnsi="微软雅黑" w:eastAsia="微软雅黑" w:cs="微软雅黑"/>
                <w:b/>
                <w:caps w:val="0"/>
                <w:color w:val="FF0000"/>
                <w:spacing w:val="0"/>
                <w:kern w:val="0"/>
                <w:sz w:val="44"/>
                <w:szCs w:val="44"/>
                <w:lang w:val="en-US" w:eastAsia="zh-CN" w:bidi="ar"/>
              </w:rPr>
              <w:t>教 育 部 司 局 函 件</w:t>
            </w:r>
          </w:p>
        </w:tc>
      </w:tr>
      <w:tr>
        <w:tblPrEx>
          <w:shd w:val="clear" w:color="auto" w:fill="FFFFFF"/>
          <w:tblLayout w:type="fixed"/>
          <w:tblCellMar>
            <w:top w:w="0" w:type="dxa"/>
            <w:left w:w="0" w:type="dxa"/>
            <w:bottom w:w="0" w:type="dxa"/>
            <w:right w:w="0" w:type="dxa"/>
          </w:tblCellMar>
        </w:tblPrEx>
        <w:trPr>
          <w:trHeight w:val="16" w:hRule="atLeast"/>
          <w:tblCellSpacing w:w="0" w:type="dxa"/>
        </w:trPr>
        <w:tc>
          <w:tcPr>
            <w:tcW w:w="9900" w:type="dxa"/>
            <w:shd w:val="clear" w:color="auto" w:fill="FFFFFF"/>
            <w:vAlign w:val="center"/>
          </w:tcPr>
          <w:p>
            <w:pPr>
              <w:rPr>
                <w:rFonts w:hint="eastAsia" w:ascii="微软雅黑" w:hAnsi="微软雅黑" w:eastAsia="微软雅黑" w:cs="微软雅黑"/>
                <w:caps w:val="0"/>
                <w:spacing w:val="0"/>
                <w:sz w:val="24"/>
                <w:szCs w:val="24"/>
              </w:rPr>
            </w:pPr>
          </w:p>
        </w:tc>
      </w:tr>
      <w:tr>
        <w:tblPrEx>
          <w:shd w:val="clear" w:color="auto" w:fill="FFFFFF"/>
          <w:tblLayout w:type="fixed"/>
          <w:tblCellMar>
            <w:top w:w="0" w:type="dxa"/>
            <w:left w:w="0" w:type="dxa"/>
            <w:bottom w:w="0" w:type="dxa"/>
            <w:right w:w="0" w:type="dxa"/>
          </w:tblCellMar>
        </w:tblPrEx>
        <w:trPr>
          <w:trHeight w:val="16" w:hRule="atLeast"/>
          <w:tblCellSpacing w:w="0" w:type="dxa"/>
        </w:trPr>
        <w:tc>
          <w:tcPr>
            <w:tcW w:w="9900" w:type="dxa"/>
            <w:shd w:val="clear" w:color="auto" w:fill="FFFFFF"/>
            <w:vAlign w:val="center"/>
          </w:tcPr>
          <w:p>
            <w:pPr>
              <w:rPr>
                <w:rFonts w:hint="eastAsia" w:ascii="微软雅黑" w:hAnsi="微软雅黑" w:eastAsia="微软雅黑" w:cs="微软雅黑"/>
                <w:caps w:val="0"/>
                <w:spacing w:val="0"/>
                <w:sz w:val="24"/>
                <w:szCs w:val="24"/>
              </w:rPr>
            </w:pPr>
          </w:p>
        </w:tc>
      </w:tr>
    </w:tbl>
    <w:p>
      <w:pPr>
        <w:rPr>
          <w:vanish/>
          <w:sz w:val="24"/>
          <w:szCs w:val="24"/>
        </w:rPr>
      </w:pPr>
    </w:p>
    <w:tbl>
      <w:tblPr>
        <w:tblW w:w="9750" w:type="dxa"/>
        <w:jc w:val="center"/>
        <w:tblCellSpacing w:w="0" w:type="dxa"/>
        <w:tblInd w:w="-722" w:type="dxa"/>
        <w:shd w:val="clear" w:color="auto" w:fill="FFFFFF"/>
        <w:tblLayout w:type="fixed"/>
        <w:tblCellMar>
          <w:top w:w="0" w:type="dxa"/>
          <w:left w:w="0" w:type="dxa"/>
          <w:bottom w:w="0" w:type="dxa"/>
          <w:right w:w="0" w:type="dxa"/>
        </w:tblCellMar>
      </w:tblPr>
      <w:tblGrid>
        <w:gridCol w:w="9750"/>
      </w:tblGrid>
      <w:tr>
        <w:tblPrEx>
          <w:shd w:val="clear" w:color="auto" w:fill="FFFFFF"/>
          <w:tblLayout w:type="fixed"/>
          <w:tblCellMar>
            <w:top w:w="0" w:type="dxa"/>
            <w:left w:w="0" w:type="dxa"/>
            <w:bottom w:w="0" w:type="dxa"/>
            <w:right w:w="0" w:type="dxa"/>
          </w:tblCellMar>
        </w:tblPrEx>
        <w:trPr>
          <w:tblCellSpacing w:w="0" w:type="dxa"/>
          <w:jc w:val="center"/>
        </w:trPr>
        <w:tc>
          <w:tcPr>
            <w:tcW w:w="975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教社科司函〔2018〕223号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 </w:t>
            </w:r>
          </w:p>
          <w:tbl>
            <w:tblPr>
              <w:tblW w:w="9750" w:type="dxa"/>
              <w:jc w:val="center"/>
              <w:tblCellSpacing w:w="0" w:type="dxa"/>
              <w:tblInd w:w="0" w:type="dxa"/>
              <w:shd w:val="clear"/>
              <w:tblLayout w:type="fixed"/>
              <w:tblCellMar>
                <w:top w:w="0" w:type="dxa"/>
                <w:left w:w="0" w:type="dxa"/>
                <w:bottom w:w="0" w:type="dxa"/>
                <w:right w:w="0" w:type="dxa"/>
              </w:tblCellMar>
            </w:tblPr>
            <w:tblGrid>
              <w:gridCol w:w="9750"/>
            </w:tblGrid>
            <w:tr>
              <w:tblPrEx>
                <w:shd w:val="clear"/>
                <w:tblLayout w:type="fixed"/>
              </w:tblPrEx>
              <w:trPr>
                <w:tblCellSpacing w:w="0" w:type="dxa"/>
                <w:jc w:val="center"/>
              </w:trPr>
              <w:tc>
                <w:tcPr>
                  <w:tcW w:w="9750" w:type="dxa"/>
                  <w:shd w:val="clear"/>
                  <w:vAlign w:val="bottom"/>
                </w:tcPr>
                <w:tbl>
                  <w:tblPr>
                    <w:tblW w:w="8775" w:type="dxa"/>
                    <w:jc w:val="center"/>
                    <w:tblCellSpacing w:w="0" w:type="dxa"/>
                    <w:tblInd w:w="487" w:type="dxa"/>
                    <w:shd w:val="clear"/>
                    <w:tblLayout w:type="fixed"/>
                    <w:tblCellMar>
                      <w:top w:w="0" w:type="dxa"/>
                      <w:left w:w="0" w:type="dxa"/>
                      <w:bottom w:w="0" w:type="dxa"/>
                      <w:right w:w="0" w:type="dxa"/>
                    </w:tblCellMar>
                  </w:tblPr>
                  <w:tblGrid>
                    <w:gridCol w:w="8775"/>
                  </w:tblGrid>
                  <w:tr>
                    <w:tblPrEx>
                      <w:shd w:val="clear"/>
                      <w:tblLayout w:type="fixed"/>
                      <w:tblCellMar>
                        <w:top w:w="0" w:type="dxa"/>
                        <w:left w:w="0" w:type="dxa"/>
                        <w:bottom w:w="0" w:type="dxa"/>
                        <w:right w:w="0" w:type="dxa"/>
                      </w:tblCellMar>
                    </w:tblPrEx>
                    <w:trPr>
                      <w:tblCellSpacing w:w="0" w:type="dxa"/>
                      <w:jc w:val="center"/>
                    </w:trPr>
                    <w:tc>
                      <w:tcPr>
                        <w:tcW w:w="8775"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32"/>
                            <w:szCs w:val="32"/>
                          </w:rPr>
                          <w:t>教育部社科司关于2019年度教育部哲学社会科学研究重大课题攻关项目招标工作的通知 </w:t>
                        </w:r>
                        <w:r>
                          <w:rPr>
                            <w:rFonts w:hint="eastAsia" w:ascii="宋体" w:hAnsi="宋体" w:eastAsia="宋体" w:cs="宋体"/>
                            <w:b/>
                            <w:color w:val="000000"/>
                            <w:sz w:val="32"/>
                            <w:szCs w:val="32"/>
                          </w:rPr>
                          <w:br w:type="textWrapping"/>
                        </w:r>
                        <w:r>
                          <w:rPr>
                            <w:rFonts w:hint="eastAsia" w:ascii="宋体" w:hAnsi="宋体" w:eastAsia="宋体" w:cs="宋体"/>
                            <w:b/>
                            <w:color w:val="000000"/>
                            <w:sz w:val="24"/>
                            <w:szCs w:val="24"/>
                          </w:rPr>
                          <w:t> </w:t>
                        </w:r>
                      </w:p>
                    </w:tc>
                  </w:tr>
                </w:tbl>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sz w:val="24"/>
                      <w:szCs w:val="24"/>
                    </w:rPr>
                  </w:pPr>
                </w:p>
              </w:tc>
            </w:tr>
            <w:tr>
              <w:tblPrEx>
                <w:tblLayout w:type="fixed"/>
                <w:tblCellMar>
                  <w:top w:w="0" w:type="dxa"/>
                  <w:left w:w="0" w:type="dxa"/>
                  <w:bottom w:w="0" w:type="dxa"/>
                  <w:right w:w="0" w:type="dxa"/>
                </w:tblCellMar>
              </w:tblPrEx>
              <w:trPr>
                <w:tblCellSpacing w:w="0" w:type="dxa"/>
                <w:jc w:val="center"/>
              </w:trPr>
              <w:tc>
                <w:tcPr>
                  <w:tcW w:w="9750" w:type="dxa"/>
                  <w:shd w:val="cle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sz w:val="24"/>
                      <w:szCs w:val="24"/>
                    </w:rPr>
                  </w:pPr>
                </w:p>
              </w:tc>
            </w:tr>
            <w:tr>
              <w:tblPrEx>
                <w:shd w:val="clear"/>
                <w:tblLayout w:type="fixed"/>
                <w:tblCellMar>
                  <w:top w:w="0" w:type="dxa"/>
                  <w:left w:w="0" w:type="dxa"/>
                  <w:bottom w:w="0" w:type="dxa"/>
                  <w:right w:w="0" w:type="dxa"/>
                </w:tblCellMar>
              </w:tblPrEx>
              <w:trPr>
                <w:tblCellSpacing w:w="0" w:type="dxa"/>
                <w:jc w:val="center"/>
              </w:trPr>
              <w:tc>
                <w:tcPr>
                  <w:tcW w:w="9750" w:type="dxa"/>
                  <w:shd w:val="cle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各省、自治区、直辖市教育厅（教委），新疆生产建设兵团教育局，有关部门（单位）教育司（局），部属各高等学校、部省合建各高等学校：</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根据《教育部哲学社会科学研究重大课题攻关项目管理办法（试行）》（教社科〔2003〕6号），现将2019年度教育部哲学社会科学研究重大课题攻关项目（以下简称重大攻关项目）招标工作有关事宜通知如下：</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w:t>
                  </w:r>
                  <w:r>
                    <w:rPr>
                      <w:rStyle w:val="5"/>
                      <w:rFonts w:hint="eastAsia" w:ascii="宋体" w:hAnsi="宋体" w:eastAsia="宋体" w:cs="宋体"/>
                      <w:color w:val="000000" w:themeColor="text1"/>
                      <w:sz w:val="24"/>
                      <w:szCs w:val="24"/>
                      <w14:textFill>
                        <w14:solidFill>
                          <w14:schemeClr w14:val="tx1"/>
                        </w14:solidFill>
                      </w14:textFill>
                    </w:rPr>
                    <w:t>一、招标课题和资助额度</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1.经国家有关部委、高校推荐，教育部社会科学委员会等有关专家遴选，并经教育部批准，2019年度重大攻关项目招标课题共56项。</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2.每项课题资助经费原则上为50-80万元。</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w:t>
                  </w:r>
                  <w:r>
                    <w:rPr>
                      <w:rStyle w:val="5"/>
                      <w:rFonts w:hint="eastAsia" w:ascii="宋体" w:hAnsi="宋体" w:eastAsia="宋体" w:cs="宋体"/>
                      <w:color w:val="000000" w:themeColor="text1"/>
                      <w:sz w:val="24"/>
                      <w:szCs w:val="24"/>
                      <w14:textFill>
                        <w14:solidFill>
                          <w14:schemeClr w14:val="tx1"/>
                        </w14:solidFill>
                      </w14:textFill>
                    </w:rPr>
                    <w:t>二、投标条件和有关要求</w:t>
                  </w:r>
                  <w:r>
                    <w:rPr>
                      <w:rStyle w:val="5"/>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1.重大攻关项目首席专家（投标者）必须是法人（高等学校）担保的高等学校具有正高级专业技术职称的有关人员，能够担负起课题研究实际组织和指导责任。</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2.首席专家只能为1名。</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3.首席专家不能作为子课题负责人或课题组成员参与本次投标的其他课题。</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4.有以下情况之一者不得投标：</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（1）承担国家社科基金重大招标项目及其他国家级科研重大项目尚未完成者；</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（2）承担历年教育部人文社会科学重点研究基地重大项目、教育部哲学社会科学研究后期资助重大项目尚未完成者；</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（3）正在承担教育部哲学社会科学研究重大课题攻关项目的首席专家，在2019年1月21日前未提出最终成果鉴定申请者。</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5.申请国家社会科学基金重大招标项目及其他国家级科研重大项目的首席专家，同年度不能投标教育部重大攻关项目。</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w:t>
                  </w:r>
                  <w:r>
                    <w:rPr>
                      <w:rStyle w:val="5"/>
                      <w:rFonts w:hint="eastAsia" w:ascii="宋体" w:hAnsi="宋体" w:eastAsia="宋体" w:cs="宋体"/>
                      <w:color w:val="000000" w:themeColor="text1"/>
                      <w:sz w:val="24"/>
                      <w:szCs w:val="24"/>
                      <w14:textFill>
                        <w14:solidFill>
                          <w14:schemeClr w14:val="tx1"/>
                        </w14:solidFill>
                      </w14:textFill>
                    </w:rPr>
                    <w:t>三、招标文件</w:t>
                  </w:r>
                  <w:r>
                    <w:rPr>
                      <w:rStyle w:val="5"/>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1.《2019年度教育部哲学社会科学研究重大课题攻关项目招标课题指南》。</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2.《教育部哲学社会科学研究重大课题攻关项目管理办法（试行）》。</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3.《教育部哲学社会科学研究重大课题攻关项目投标评审书》（以下简称《投标评审书》）。</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4.《2019年度教育部哲学社会科学研究重大课题攻关项目投标情况一览表》（以下简称《投标情况一览表》，在线填报基本信息后自动生成）。</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以上招标文件可在教育部社科司主页“教育部人文社会科学研究管理平台”下载。</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w:t>
                  </w:r>
                  <w:r>
                    <w:rPr>
                      <w:rStyle w:val="5"/>
                      <w:rFonts w:hint="eastAsia" w:ascii="宋体" w:hAnsi="宋体" w:eastAsia="宋体" w:cs="宋体"/>
                      <w:color w:val="000000" w:themeColor="text1"/>
                      <w:sz w:val="24"/>
                      <w:szCs w:val="24"/>
                      <w14:textFill>
                        <w14:solidFill>
                          <w14:schemeClr w14:val="tx1"/>
                        </w14:solidFill>
                      </w14:textFill>
                    </w:rPr>
                    <w:t>四、申报办法和申报程序</w:t>
                  </w:r>
                  <w:r>
                    <w:rPr>
                      <w:rStyle w:val="5"/>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1.以学校为单位，集中统一申报，不受理个人申报。</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2.教育部社科司主页（</w:t>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"http://www.moe.edu.cn/s78/A13/"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6"/>
                      <w:rFonts w:hint="eastAsia" w:ascii="宋体" w:hAnsi="宋体" w:eastAsia="宋体" w:cs="宋体"/>
                      <w:color w:val="000000" w:themeColor="text1"/>
                      <w:sz w:val="24"/>
                      <w:szCs w:val="24"/>
                      <w14:textFill>
                        <w14:solidFill>
                          <w14:schemeClr w14:val="tx1"/>
                        </w14:solidFill>
                      </w14:textFill>
                    </w:rPr>
                    <w:t>www.moe.edu.cn/s78/A13/</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t>）“教育部人文社会科学研究管理平台•项目申报”系统（以下简称“申报系统”）为本次申报的唯一网络平台，网络申报办法及流程以该系统为准。</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3.《投标评审书》启用2019年新版本，以前版本无效。由学校科研管理部门组织申报人下载并按要求填写《投标评审书》。投标材料应符合招标文件提出的实质性要求和条件，不得自行改动招标课题名称。</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4.2018年12月18日开始受理项目网上申报。请各高校科研管理部门登录“申报系统”在线填报投标项目基本信息，并以PDF版本上传《投标评审书》及附件材料（文件大小建议不超20M）。</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已开通申报系统账号的高校科研管理部门，以原有账号、密码登录系统，并及时核对单位信息；未开通账号的高校科研管理部门，请登录申报系统，登记单位信息、设定登录密码，打印“开通账号申请表”并加盖管理部门公章，传真至010-62519525。待审核通过后，即可登录申报系统进行操作。</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有关申报系统及技术问题请咨询010-62510667，手机：15313766307，15313766308，电子信箱：</w:t>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"mailto:xmsb2019@sinoss.net"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6"/>
                      <w:rFonts w:hint="eastAsia" w:ascii="宋体" w:hAnsi="宋体" w:eastAsia="宋体" w:cs="宋体"/>
                      <w:color w:val="000000" w:themeColor="text1"/>
                      <w:sz w:val="24"/>
                      <w:szCs w:val="24"/>
                      <w14:textFill>
                        <w14:solidFill>
                          <w14:schemeClr w14:val="tx1"/>
                        </w14:solidFill>
                      </w14:textFill>
                    </w:rPr>
                    <w:t>xmsb2019@sinoss.net</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5.高校科研管理部门须在2019年1月25日之前对本校所投标项目的基本信息进行在线审核确认，在线打印《投标情况一览表》，并于2019年1月30日前将加盖公章的《投标评审书》《投标情况一览表》各1份，报送至高校社会科学研究评价中心。《投标评审书》用A4纸双面打印，并按“填表说明”有关要求装订。</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报送地址：北京市朝阳区惠新东街4号，富盛大厦1座12层，邮编：100029。请来电确认材料接收情况，逾期不予受理。联系人：张海泽；电话：010-58556246，18210339886；传真：010-58556074；电子信箱：</w:t>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"mailto:pingjzx@126.com"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6"/>
                      <w:rFonts w:hint="eastAsia" w:ascii="宋体" w:hAnsi="宋体" w:eastAsia="宋体" w:cs="宋体"/>
                      <w:color w:val="000000" w:themeColor="text1"/>
                      <w:sz w:val="24"/>
                      <w:szCs w:val="24"/>
                      <w14:textFill>
                        <w14:solidFill>
                          <w14:schemeClr w14:val="tx1"/>
                        </w14:solidFill>
                      </w14:textFill>
                    </w:rPr>
                    <w:t>pingjzx@126.com</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教育部社科司联系人：段洪波，联系电话：010-66097563。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附件：</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1.</w:t>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"https://www.sinoss.net/uploadfile/2018/1214/20181214034338394.pdf" \t "https://www.sinoss.net/2018/1214/_blank"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6"/>
                      <w:rFonts w:hint="eastAsia" w:ascii="宋体" w:hAnsi="宋体" w:eastAsia="宋体" w:cs="宋体"/>
                      <w:color w:val="000000" w:themeColor="text1"/>
                      <w:sz w:val="24"/>
                      <w:szCs w:val="24"/>
                      <w14:textFill>
                        <w14:solidFill>
                          <w14:schemeClr w14:val="tx1"/>
                        </w14:solidFill>
                      </w14:textFill>
                    </w:rPr>
                    <w:t>2019年度教育部哲学社会科学研究重大课题攻关项目招标课题指南</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2.</w:t>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"https://www.sinoss.net/uploadfile/2018/1214/20181214034352387.pdf" \t "https://www.sinoss.net/2018/1214/_blank"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6"/>
                      <w:rFonts w:hint="eastAsia" w:ascii="宋体" w:hAnsi="宋体" w:eastAsia="宋体" w:cs="宋体"/>
                      <w:color w:val="000000" w:themeColor="text1"/>
                      <w:sz w:val="24"/>
                      <w:szCs w:val="24"/>
                      <w14:textFill>
                        <w14:solidFill>
                          <w14:schemeClr w14:val="tx1"/>
                        </w14:solidFill>
                      </w14:textFill>
                    </w:rPr>
                    <w:t>教育部哲学社会科学研究重大课题攻关项目管理办法（试行）</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3.</w:t>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"https://www.sinoss.net/uploadfile/2018/1214/20181214034640281.docx" \t "https://www.sinoss.net/2018/1214/_blank"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6"/>
                      <w:rFonts w:hint="eastAsia" w:ascii="宋体" w:hAnsi="宋体" w:eastAsia="宋体" w:cs="宋体"/>
                      <w:color w:val="000000" w:themeColor="text1"/>
                      <w:sz w:val="24"/>
                      <w:szCs w:val="24"/>
                      <w14:textFill>
                        <w14:solidFill>
                          <w14:schemeClr w14:val="tx1"/>
                        </w14:solidFill>
                      </w14:textFill>
                    </w:rPr>
                    <w:t>教育部哲学社会科学研究重大课题攻关项目投标评审书（2019版本）</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4.</w:t>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"https://www.sinoss.net/uploadfile/2018/1214/20181214034426158.pdf" \t "https://www.sinoss.net/2018/1214/_blank"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6"/>
                      <w:rFonts w:hint="eastAsia" w:ascii="宋体" w:hAnsi="宋体" w:eastAsia="宋体" w:cs="宋体"/>
                      <w:color w:val="000000" w:themeColor="text1"/>
                      <w:sz w:val="24"/>
                      <w:szCs w:val="24"/>
                      <w14:textFill>
                        <w14:solidFill>
                          <w14:schemeClr w14:val="tx1"/>
                        </w14:solidFill>
                      </w14:textFill>
                    </w:rPr>
                    <w:t>2019年度教育部哲学社会科学研究重大课题攻关项目申报常见问题答疑</w:t>
                  </w:r>
                  <w:r>
                    <w:rPr>
                      <w:rFonts w:hint="eastAsia" w:ascii="宋体" w:hAnsi="宋体" w:eastAsia="宋体" w:cs="宋体"/>
                      <w:color w:val="000000" w:themeColor="text1"/>
                      <w:sz w:val="24"/>
                      <w:szCs w:val="24"/>
                      <w14:textFill>
                        <w14:solidFill>
                          <w14:schemeClr w14:val="tx1"/>
                        </w14:solidFill>
                      </w14:textFill>
                    </w:rPr>
                    <w:fldChar w:fldCharType="end"/>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righ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教育部社会科学司</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2018年12月14日</w:t>
                  </w:r>
                  <w:r>
                    <w:rPr>
                      <w:rFonts w:hint="eastAsia" w:ascii="宋体" w:hAnsi="宋体" w:eastAsia="宋体" w:cs="宋体"/>
                      <w:sz w:val="24"/>
                      <w:szCs w:val="24"/>
                    </w:rPr>
                    <w:br w:type="textWrapping"/>
                  </w:r>
                  <w:r>
                    <w:rPr>
                      <w:rFonts w:hint="eastAsia" w:ascii="宋体" w:hAnsi="宋体" w:eastAsia="宋体" w:cs="宋体"/>
                      <w:sz w:val="24"/>
                      <w:szCs w:val="24"/>
                    </w:rPr>
                    <w:t> </w:t>
                  </w:r>
                </w:p>
              </w:tc>
            </w:tr>
            <w:tr>
              <w:tblPrEx>
                <w:tblLayout w:type="fixed"/>
                <w:tblCellMar>
                  <w:top w:w="0" w:type="dxa"/>
                  <w:left w:w="0" w:type="dxa"/>
                  <w:bottom w:w="0" w:type="dxa"/>
                  <w:right w:w="0" w:type="dxa"/>
                </w:tblCellMar>
              </w:tblPrEx>
              <w:trPr>
                <w:trHeight w:val="241" w:hRule="atLeast"/>
                <w:tblCellSpacing w:w="0" w:type="dxa"/>
                <w:jc w:val="center"/>
              </w:trPr>
              <w:tc>
                <w:tcPr>
                  <w:tcW w:w="9750" w:type="dxa"/>
                  <w:shd w:val="cle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sz w:val="24"/>
                      <w:szCs w:val="24"/>
                    </w:rPr>
                  </w:pPr>
                </w:p>
              </w:tc>
            </w:tr>
            <w:tr>
              <w:tblPrEx>
                <w:tblLayout w:type="fixed"/>
                <w:tblCellMar>
                  <w:top w:w="0" w:type="dxa"/>
                  <w:left w:w="0" w:type="dxa"/>
                  <w:bottom w:w="0" w:type="dxa"/>
                  <w:right w:w="0" w:type="dxa"/>
                </w:tblCellMar>
              </w:tblPrEx>
              <w:trPr>
                <w:trHeight w:val="16" w:hRule="atLeast"/>
                <w:tblCellSpacing w:w="0" w:type="dxa"/>
                <w:jc w:val="center"/>
              </w:trPr>
              <w:tc>
                <w:tcPr>
                  <w:tcW w:w="9750" w:type="dxa"/>
                  <w:shd w:val="cle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sz w:val="24"/>
                      <w:szCs w:val="24"/>
                    </w:rPr>
                  </w:pPr>
                </w:p>
              </w:tc>
            </w:tr>
            <w:tr>
              <w:tblPrEx>
                <w:tblLayout w:type="fixed"/>
                <w:tblCellMar>
                  <w:top w:w="0" w:type="dxa"/>
                  <w:left w:w="0" w:type="dxa"/>
                  <w:bottom w:w="0" w:type="dxa"/>
                  <w:right w:w="0" w:type="dxa"/>
                </w:tblCellMar>
              </w:tblPrEx>
              <w:trPr>
                <w:tblCellSpacing w:w="0" w:type="dxa"/>
                <w:jc w:val="center"/>
              </w:trPr>
              <w:tc>
                <w:tcPr>
                  <w:tcW w:w="975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宋体" w:hAnsi="宋体" w:eastAsia="宋体" w:cs="宋体"/>
                      <w:sz w:val="24"/>
                      <w:szCs w:val="24"/>
                    </w:rPr>
                  </w:pPr>
                </w:p>
              </w:tc>
            </w:tr>
          </w:tbl>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caps w:val="0"/>
                <w:spacing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23D69"/>
    <w:rsid w:val="2F323D69"/>
    <w:rsid w:val="6B161B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2018-12-17T03:28:00Z</dcterms:created>
  <dc:creator>李伟</dc:creator>
  <cp:lastModifiedBy>李伟</cp:lastModifiedBy>
  <cp:lastPrinted>2018-12-17T03:32:16Z</cp:lastPrinted>
  <dcterms:modified xsi:type="dcterms:W3CDTF">2018-12-17T03:35:35Z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